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7A4BFA" w:rsidP="00AB3624">
      <w:pPr>
        <w:spacing w:after="0" w:line="240" w:lineRule="auto"/>
        <w:jc w:val="center"/>
        <w:rPr>
          <w:rFonts w:ascii="Times New Roman" w:hAnsi="Times New Roman"/>
          <w:b/>
          <w:sz w:val="24"/>
        </w:rPr>
      </w:pPr>
      <w:r w:rsidRPr="007A4BFA">
        <w:rPr>
          <w:rFonts w:ascii="Times New Roman" w:hAnsi="Times New Roman"/>
          <w:b/>
          <w:color w:val="000000"/>
          <w:sz w:val="24"/>
        </w:rPr>
        <w:t>Политическая культура и идеологии</w:t>
      </w:r>
    </w:p>
    <w:p w:rsidR="00762BE1" w:rsidRPr="00EB0BCD" w:rsidRDefault="00762BE1" w:rsidP="00762BE1">
      <w:pPr>
        <w:spacing w:after="240"/>
        <w:rPr>
          <w:rFonts w:ascii="Times New Roman" w:hAnsi="Times New Roman"/>
          <w:sz w:val="24"/>
        </w:rPr>
      </w:pP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D75D03">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3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6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 xml:space="preserve">Владение приемами и технологиями целеполагания, </w:t>
            </w:r>
            <w:proofErr w:type="spellStart"/>
            <w:r w:rsidRPr="00173942">
              <w:rPr>
                <w:rFonts w:ascii="Times New Roman" w:eastAsia="Calibri" w:hAnsi="Times New Roman" w:cs="Times New Roman"/>
              </w:rPr>
              <w:t>целереализации</w:t>
            </w:r>
            <w:proofErr w:type="spellEnd"/>
            <w:r w:rsidRPr="00173942">
              <w:rPr>
                <w:rFonts w:ascii="Times New Roman" w:eastAsia="Calibri" w:hAnsi="Times New Roman" w:cs="Times New Roman"/>
              </w:rPr>
              <w:t xml:space="preserve">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proofErr w:type="spellStart"/>
      <w:r w:rsidRPr="00EF13A2">
        <w:rPr>
          <w:szCs w:val="28"/>
        </w:rPr>
        <w:t>Компетентностный</w:t>
      </w:r>
      <w:proofErr w:type="spellEnd"/>
      <w:r w:rsidRPr="00EF13A2">
        <w:rPr>
          <w:szCs w:val="28"/>
        </w:rPr>
        <w:t xml:space="preserve">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7A4BFA" w:rsidRDefault="00AE6456" w:rsidP="007A4BFA">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7A4BFA">
        <w:rPr>
          <w:rFonts w:ascii="Times New Roman" w:hAnsi="Times New Roman" w:cs="Times New Roman"/>
          <w:b w:val="0"/>
          <w:bCs/>
          <w:sz w:val="24"/>
          <w:szCs w:val="24"/>
        </w:rPr>
        <w:t xml:space="preserve">Федеральный закон «Об </w:t>
      </w:r>
      <w:r w:rsidR="00A72B97" w:rsidRPr="007A4BFA">
        <w:rPr>
          <w:rFonts w:ascii="Times New Roman" w:hAnsi="Times New Roman" w:cs="Times New Roman"/>
          <w:b w:val="0"/>
          <w:bCs/>
          <w:sz w:val="24"/>
          <w:szCs w:val="24"/>
        </w:rPr>
        <w:t xml:space="preserve">образовании </w:t>
      </w:r>
      <w:r w:rsidRPr="007A4BFA">
        <w:rPr>
          <w:rFonts w:ascii="Times New Roman" w:hAnsi="Times New Roman" w:cs="Times New Roman"/>
          <w:b w:val="0"/>
          <w:bCs/>
          <w:sz w:val="24"/>
          <w:szCs w:val="24"/>
        </w:rPr>
        <w:t>в Российской Федерации» от 29 декабря 2012 года № 273-ФЗ.</w:t>
      </w:r>
    </w:p>
    <w:p w:rsidR="00215344" w:rsidRPr="007A4BFA" w:rsidRDefault="00D33A92" w:rsidP="007A4BFA">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7A4BFA">
        <w:rPr>
          <w:rFonts w:ascii="Times New Roman" w:hAnsi="Times New Roman" w:cs="Times New Roman"/>
          <w:sz w:val="24"/>
          <w:szCs w:val="24"/>
        </w:rPr>
        <w:t xml:space="preserve">ФГОС ВО </w:t>
      </w:r>
      <w:r w:rsidR="00215344" w:rsidRPr="007A4BFA">
        <w:rPr>
          <w:rFonts w:ascii="Times New Roman" w:hAnsi="Times New Roman" w:cs="Times New Roman"/>
          <w:sz w:val="24"/>
          <w:szCs w:val="24"/>
        </w:rPr>
        <w:t>по направлению подготовки «</w:t>
      </w:r>
      <w:r w:rsidR="00471D27" w:rsidRPr="007A4BFA">
        <w:rPr>
          <w:rFonts w:ascii="Times New Roman" w:hAnsi="Times New Roman" w:cs="Times New Roman"/>
          <w:sz w:val="24"/>
          <w:szCs w:val="24"/>
        </w:rPr>
        <w:t>Политические науки и регионоведение</w:t>
      </w:r>
      <w:r w:rsidR="00215344" w:rsidRPr="007A4BFA">
        <w:rPr>
          <w:rFonts w:ascii="Times New Roman" w:hAnsi="Times New Roman" w:cs="Times New Roman"/>
          <w:sz w:val="24"/>
          <w:szCs w:val="24"/>
        </w:rPr>
        <w:t xml:space="preserve">», </w:t>
      </w:r>
      <w:hyperlink r:id="rId5" w:history="1">
        <w:r w:rsidR="00215344" w:rsidRPr="007A4BFA">
          <w:rPr>
            <w:rStyle w:val="af4"/>
            <w:rFonts w:ascii="Times New Roman" w:hAnsi="Times New Roman" w:cs="Times New Roman"/>
            <w:color w:val="auto"/>
            <w:sz w:val="24"/>
            <w:szCs w:val="24"/>
            <w:lang w:val="en-US"/>
          </w:rPr>
          <w:t>http</w:t>
        </w:r>
        <w:r w:rsidR="00215344" w:rsidRPr="007A4BFA">
          <w:rPr>
            <w:rStyle w:val="af4"/>
            <w:rFonts w:ascii="Times New Roman" w:hAnsi="Times New Roman" w:cs="Times New Roman"/>
            <w:color w:val="auto"/>
            <w:sz w:val="24"/>
            <w:szCs w:val="24"/>
          </w:rPr>
          <w:t>://</w:t>
        </w:r>
        <w:r w:rsidR="00215344" w:rsidRPr="007A4BFA">
          <w:rPr>
            <w:rStyle w:val="af4"/>
            <w:rFonts w:ascii="Times New Roman" w:hAnsi="Times New Roman" w:cs="Times New Roman"/>
            <w:color w:val="auto"/>
            <w:sz w:val="24"/>
            <w:szCs w:val="24"/>
            <w:lang w:val="en-US"/>
          </w:rPr>
          <w:t>www</w:t>
        </w:r>
        <w:r w:rsidR="00215344" w:rsidRPr="007A4BFA">
          <w:rPr>
            <w:rStyle w:val="af4"/>
            <w:rFonts w:ascii="Times New Roman" w:hAnsi="Times New Roman" w:cs="Times New Roman"/>
            <w:color w:val="auto"/>
            <w:sz w:val="24"/>
            <w:szCs w:val="24"/>
          </w:rPr>
          <w:t>.</w:t>
        </w:r>
        <w:proofErr w:type="spellStart"/>
        <w:r w:rsidR="00215344" w:rsidRPr="007A4BFA">
          <w:rPr>
            <w:rStyle w:val="af4"/>
            <w:rFonts w:ascii="Times New Roman" w:hAnsi="Times New Roman" w:cs="Times New Roman"/>
            <w:color w:val="auto"/>
            <w:sz w:val="24"/>
            <w:szCs w:val="24"/>
            <w:lang w:val="en-US"/>
          </w:rPr>
          <w:t>fgosvo</w:t>
        </w:r>
        <w:proofErr w:type="spellEnd"/>
        <w:r w:rsidR="00215344" w:rsidRPr="007A4BFA">
          <w:rPr>
            <w:rStyle w:val="af4"/>
            <w:rFonts w:ascii="Times New Roman" w:hAnsi="Times New Roman" w:cs="Times New Roman"/>
            <w:color w:val="auto"/>
            <w:sz w:val="24"/>
            <w:szCs w:val="24"/>
          </w:rPr>
          <w:t>.</w:t>
        </w:r>
        <w:proofErr w:type="spellStart"/>
        <w:r w:rsidR="00215344" w:rsidRPr="007A4BFA">
          <w:rPr>
            <w:rStyle w:val="af4"/>
            <w:rFonts w:ascii="Times New Roman" w:hAnsi="Times New Roman" w:cs="Times New Roman"/>
            <w:color w:val="auto"/>
            <w:sz w:val="24"/>
            <w:szCs w:val="24"/>
            <w:lang w:val="en-US"/>
          </w:rPr>
          <w:t>ru</w:t>
        </w:r>
        <w:proofErr w:type="spellEnd"/>
      </w:hyperlink>
      <w:r w:rsidR="00215344" w:rsidRPr="007A4BFA">
        <w:rPr>
          <w:rFonts w:ascii="Times New Roman" w:hAnsi="Times New Roman" w:cs="Times New Roman"/>
          <w:sz w:val="24"/>
          <w:szCs w:val="24"/>
        </w:rPr>
        <w:t>.</w:t>
      </w:r>
    </w:p>
    <w:p w:rsidR="00215344" w:rsidRPr="007A4BFA" w:rsidRDefault="00AE0E30" w:rsidP="007A4BFA">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7A4BFA">
        <w:rPr>
          <w:rFonts w:ascii="Times New Roman" w:hAnsi="Times New Roman" w:cs="Times New Roman"/>
          <w:sz w:val="24"/>
          <w:szCs w:val="24"/>
        </w:rPr>
        <w:t>Образовательные стандарты</w:t>
      </w:r>
      <w:r w:rsidR="00215344" w:rsidRPr="007A4BFA">
        <w:rPr>
          <w:rFonts w:ascii="Times New Roman" w:hAnsi="Times New Roman" w:cs="Times New Roman"/>
          <w:sz w:val="24"/>
          <w:szCs w:val="24"/>
        </w:rPr>
        <w:t xml:space="preserve"> МГУ </w:t>
      </w:r>
      <w:r w:rsidR="00D33A92" w:rsidRPr="007A4BFA">
        <w:rPr>
          <w:rFonts w:ascii="Times New Roman" w:hAnsi="Times New Roman" w:cs="Times New Roman"/>
          <w:sz w:val="24"/>
          <w:szCs w:val="24"/>
        </w:rPr>
        <w:t>по направлени</w:t>
      </w:r>
      <w:r w:rsidR="00215344" w:rsidRPr="007A4BFA">
        <w:rPr>
          <w:rFonts w:ascii="Times New Roman" w:hAnsi="Times New Roman" w:cs="Times New Roman"/>
          <w:sz w:val="24"/>
          <w:szCs w:val="24"/>
        </w:rPr>
        <w:t>ю «</w:t>
      </w:r>
      <w:r w:rsidR="00471D27" w:rsidRPr="007A4BFA">
        <w:rPr>
          <w:rFonts w:ascii="Times New Roman" w:hAnsi="Times New Roman" w:cs="Times New Roman"/>
          <w:sz w:val="24"/>
          <w:szCs w:val="24"/>
        </w:rPr>
        <w:t>Политические науки и регионоведение</w:t>
      </w:r>
      <w:r w:rsidR="00215344" w:rsidRPr="007A4BFA">
        <w:rPr>
          <w:rFonts w:ascii="Times New Roman" w:hAnsi="Times New Roman" w:cs="Times New Roman"/>
          <w:sz w:val="24"/>
          <w:szCs w:val="24"/>
        </w:rPr>
        <w:t xml:space="preserve">», </w:t>
      </w:r>
      <w:hyperlink r:id="rId6" w:history="1">
        <w:r w:rsidR="00215344" w:rsidRPr="007A4BFA">
          <w:rPr>
            <w:rStyle w:val="af4"/>
            <w:rFonts w:ascii="Times New Roman" w:hAnsi="Times New Roman" w:cs="Times New Roman"/>
            <w:color w:val="auto"/>
            <w:sz w:val="24"/>
            <w:szCs w:val="24"/>
          </w:rPr>
          <w:t>http://www.msu.ru/entrance/aspirantura.php</w:t>
        </w:r>
      </w:hyperlink>
      <w:r w:rsidR="00215344" w:rsidRPr="007A4BFA">
        <w:rPr>
          <w:rFonts w:ascii="Times New Roman" w:hAnsi="Times New Roman" w:cs="Times New Roman"/>
          <w:sz w:val="24"/>
          <w:szCs w:val="24"/>
        </w:rPr>
        <w:t xml:space="preserve">, </w:t>
      </w:r>
      <w:hyperlink r:id="rId7" w:history="1">
        <w:r w:rsidR="00215344" w:rsidRPr="007A4BFA">
          <w:rPr>
            <w:rStyle w:val="af4"/>
            <w:rFonts w:ascii="Times New Roman" w:hAnsi="Times New Roman" w:cs="Times New Roman"/>
            <w:color w:val="auto"/>
            <w:sz w:val="24"/>
            <w:szCs w:val="24"/>
          </w:rPr>
          <w:t>http://www.standart.msu.ru/</w:t>
        </w:r>
      </w:hyperlink>
      <w:r w:rsidR="00215344" w:rsidRPr="007A4BFA">
        <w:rPr>
          <w:rFonts w:ascii="Times New Roman" w:hAnsi="Times New Roman" w:cs="Times New Roman"/>
          <w:sz w:val="24"/>
          <w:szCs w:val="24"/>
        </w:rPr>
        <w:t>.</w:t>
      </w:r>
    </w:p>
    <w:p w:rsidR="00215344" w:rsidRPr="007A4BFA" w:rsidRDefault="00215344" w:rsidP="007A4BFA">
      <w:pPr>
        <w:pStyle w:val="s3"/>
        <w:numPr>
          <w:ilvl w:val="0"/>
          <w:numId w:val="26"/>
        </w:numPr>
        <w:spacing w:line="276" w:lineRule="auto"/>
        <w:ind w:left="357" w:hanging="357"/>
        <w:jc w:val="both"/>
        <w:rPr>
          <w:rFonts w:ascii="Times New Roman" w:hAnsi="Times New Roman" w:cs="Times New Roman"/>
          <w:b w:val="0"/>
          <w:sz w:val="24"/>
          <w:szCs w:val="24"/>
        </w:rPr>
      </w:pPr>
      <w:r w:rsidRPr="007A4BFA">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7A4BFA">
          <w:rPr>
            <w:rStyle w:val="af4"/>
            <w:rFonts w:ascii="Times New Roman" w:hAnsi="Times New Roman" w:cs="Times New Roman"/>
            <w:b w:val="0"/>
            <w:sz w:val="24"/>
            <w:szCs w:val="24"/>
          </w:rPr>
          <w:t>http://www.acur.msu.ru/metodical.php</w:t>
        </w:r>
      </w:hyperlink>
      <w:r w:rsidRPr="007A4BFA">
        <w:rPr>
          <w:rFonts w:ascii="Times New Roman" w:hAnsi="Times New Roman" w:cs="Times New Roman"/>
          <w:b w:val="0"/>
          <w:sz w:val="24"/>
          <w:szCs w:val="24"/>
        </w:rPr>
        <w:t>.</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Алексеева Т.А. Современные политические теории. М., Российская политическая энциклопедия (РОССПЭН), 2000. </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Алмонд</w:t>
      </w:r>
      <w:proofErr w:type="spellEnd"/>
      <w:r w:rsidRPr="007A4BFA">
        <w:rPr>
          <w:rFonts w:ascii="Times New Roman" w:hAnsi="Times New Roman" w:cs="Times New Roman"/>
          <w:sz w:val="24"/>
          <w:szCs w:val="24"/>
        </w:rPr>
        <w:t xml:space="preserve"> Г., Верба С. Гражданская культура и стабильность демократии // Политические исследования. 1992. № 4. С. 122–134.</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Арендт</w:t>
      </w:r>
      <w:proofErr w:type="spellEnd"/>
      <w:r w:rsidRPr="007A4BFA">
        <w:rPr>
          <w:rFonts w:ascii="Times New Roman" w:hAnsi="Times New Roman" w:cs="Times New Roman"/>
          <w:sz w:val="24"/>
          <w:szCs w:val="24"/>
        </w:rPr>
        <w:t xml:space="preserve"> Х. Истоки тоталитаризма. М., 1996.</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kern w:val="2"/>
          <w:sz w:val="24"/>
          <w:szCs w:val="24"/>
        </w:rPr>
        <w:t>Ачкасов</w:t>
      </w:r>
      <w:proofErr w:type="spellEnd"/>
      <w:r w:rsidRPr="007A4BFA">
        <w:rPr>
          <w:rFonts w:ascii="Times New Roman" w:hAnsi="Times New Roman" w:cs="Times New Roman"/>
          <w:kern w:val="2"/>
          <w:sz w:val="24"/>
          <w:szCs w:val="24"/>
        </w:rPr>
        <w:t xml:space="preserve"> В.А. "Взрывающаяся архаичность": традиционализм в политической жизни России. </w:t>
      </w:r>
      <w:proofErr w:type="gramStart"/>
      <w:r w:rsidRPr="007A4BFA">
        <w:rPr>
          <w:rFonts w:ascii="Times New Roman" w:hAnsi="Times New Roman" w:cs="Times New Roman"/>
          <w:kern w:val="2"/>
          <w:sz w:val="24"/>
          <w:szCs w:val="24"/>
        </w:rPr>
        <w:t>СПб.,</w:t>
      </w:r>
      <w:proofErr w:type="gramEnd"/>
      <w:r w:rsidRPr="007A4BFA">
        <w:rPr>
          <w:rFonts w:ascii="Times New Roman" w:hAnsi="Times New Roman" w:cs="Times New Roman"/>
          <w:kern w:val="2"/>
          <w:sz w:val="24"/>
          <w:szCs w:val="24"/>
        </w:rPr>
        <w:t xml:space="preserve"> 1997.</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Бернштейн Э. Проблемы социализма и задачи либерал-демократии. М., 1901.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bCs/>
          <w:sz w:val="24"/>
          <w:szCs w:val="24"/>
        </w:rPr>
        <w:t>Бирюков Н.И. Российская политическая культура: когнитивный подход //Политическая наука. 2006. № 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Блосфельд</w:t>
      </w:r>
      <w:proofErr w:type="spellEnd"/>
      <w:r w:rsidRPr="007A4BFA">
        <w:rPr>
          <w:rFonts w:ascii="Times New Roman" w:hAnsi="Times New Roman" w:cs="Times New Roman"/>
          <w:sz w:val="24"/>
          <w:szCs w:val="24"/>
        </w:rPr>
        <w:t xml:space="preserve"> Е.Г. Либерализм и английский лейборизм // Европейский либерализм в новое время: теория и практика, М., 1995. </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color w:val="000000"/>
          <w:sz w:val="24"/>
          <w:szCs w:val="24"/>
        </w:rPr>
        <w:t>Бодио</w:t>
      </w:r>
      <w:proofErr w:type="spellEnd"/>
      <w:r w:rsidRPr="007A4BFA">
        <w:rPr>
          <w:rFonts w:ascii="Times New Roman" w:hAnsi="Times New Roman" w:cs="Times New Roman"/>
          <w:color w:val="000000"/>
          <w:sz w:val="24"/>
          <w:szCs w:val="24"/>
        </w:rPr>
        <w:t xml:space="preserve"> Т. Сознание и политическое обычай: ограничения рациональности политических действии. Элементы теории политики. М., 2005.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color w:val="000000"/>
          <w:sz w:val="24"/>
          <w:szCs w:val="24"/>
        </w:rPr>
        <w:t>Боднер</w:t>
      </w:r>
      <w:proofErr w:type="spellEnd"/>
      <w:r w:rsidRPr="007A4BFA">
        <w:rPr>
          <w:rFonts w:ascii="Times New Roman" w:hAnsi="Times New Roman" w:cs="Times New Roman"/>
          <w:color w:val="000000"/>
          <w:sz w:val="24"/>
          <w:szCs w:val="24"/>
        </w:rPr>
        <w:t xml:space="preserve"> А. Политическая культура общества и ее обусловленности // Политология: вчера и сегодня. М, 1990.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Будаев</w:t>
      </w:r>
      <w:proofErr w:type="spellEnd"/>
      <w:r w:rsidRPr="007A4BFA">
        <w:rPr>
          <w:rFonts w:ascii="Times New Roman" w:hAnsi="Times New Roman" w:cs="Times New Roman"/>
          <w:sz w:val="24"/>
          <w:szCs w:val="24"/>
        </w:rPr>
        <w:t xml:space="preserve"> Э.В., </w:t>
      </w:r>
      <w:proofErr w:type="spellStart"/>
      <w:r w:rsidRPr="007A4BFA">
        <w:rPr>
          <w:rFonts w:ascii="Times New Roman" w:hAnsi="Times New Roman" w:cs="Times New Roman"/>
          <w:sz w:val="24"/>
          <w:szCs w:val="24"/>
        </w:rPr>
        <w:t>Чудинов</w:t>
      </w:r>
      <w:proofErr w:type="spellEnd"/>
      <w:r w:rsidRPr="007A4BFA">
        <w:rPr>
          <w:rFonts w:ascii="Times New Roman" w:hAnsi="Times New Roman" w:cs="Times New Roman"/>
          <w:sz w:val="24"/>
          <w:szCs w:val="24"/>
        </w:rPr>
        <w:t xml:space="preserve"> А.П. Метафора в политической коммуникации. М.: Флинта; Наука, 2008.</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Вебер М. Объективность социально-научного и социально-политического познания // Вебер М. Избранные сочинения. М., 1990.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kern w:val="2"/>
          <w:sz w:val="24"/>
          <w:szCs w:val="24"/>
        </w:rPr>
        <w:t>Вятр</w:t>
      </w:r>
      <w:proofErr w:type="spellEnd"/>
      <w:r w:rsidRPr="007A4BFA">
        <w:rPr>
          <w:rFonts w:ascii="Times New Roman" w:hAnsi="Times New Roman" w:cs="Times New Roman"/>
          <w:kern w:val="2"/>
          <w:sz w:val="24"/>
          <w:szCs w:val="24"/>
        </w:rPr>
        <w:t xml:space="preserve"> Е. Социология политических отношений. М., 1979.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Гаджиев К.С. Американская нация: национальное самосознание и культура. М., 1990.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Гаджиев К.С. Политическая идеология: концептуальный аспект // Вопросы философии. 1998. № 12.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Гаджиев К.С. Политическая культура: концептуальный анализ // Политические исследования. 1991. № 6. С. 69</w:t>
      </w:r>
      <w:bookmarkStart w:id="0" w:name="_GoBack"/>
      <w:bookmarkEnd w:id="0"/>
      <w:r w:rsidRPr="007A4BFA">
        <w:rPr>
          <w:rFonts w:ascii="Times New Roman" w:hAnsi="Times New Roman" w:cs="Times New Roman"/>
          <w:sz w:val="24"/>
          <w:szCs w:val="24"/>
        </w:rPr>
        <w:t>–83.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lastRenderedPageBreak/>
        <w:t>Гельман</w:t>
      </w:r>
      <w:proofErr w:type="spellEnd"/>
      <w:r w:rsidRPr="007A4BFA">
        <w:rPr>
          <w:rFonts w:ascii="Times New Roman" w:hAnsi="Times New Roman" w:cs="Times New Roman"/>
          <w:sz w:val="24"/>
          <w:szCs w:val="24"/>
        </w:rPr>
        <w:t xml:space="preserve"> В.Я. Политическая культура, массовое участие и электоральное поведение // Политическая социология и современная российская политика. </w:t>
      </w:r>
      <w:proofErr w:type="gramStart"/>
      <w:r w:rsidRPr="007A4BFA">
        <w:rPr>
          <w:rFonts w:ascii="Times New Roman" w:hAnsi="Times New Roman" w:cs="Times New Roman"/>
          <w:sz w:val="24"/>
          <w:szCs w:val="24"/>
        </w:rPr>
        <w:t>СПб.,</w:t>
      </w:r>
      <w:proofErr w:type="gramEnd"/>
      <w:r w:rsidRPr="007A4BFA">
        <w:rPr>
          <w:rFonts w:ascii="Times New Roman" w:hAnsi="Times New Roman" w:cs="Times New Roman"/>
          <w:sz w:val="24"/>
          <w:szCs w:val="24"/>
        </w:rPr>
        <w:t> 2000.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Глебова И.И. Политическая культура современной России: облик новой русской власти и социальные расколы // Полис, 2006, № 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kern w:val="2"/>
          <w:sz w:val="24"/>
          <w:szCs w:val="24"/>
        </w:rPr>
        <w:t>Градинар</w:t>
      </w:r>
      <w:proofErr w:type="spellEnd"/>
      <w:r w:rsidRPr="007A4BFA">
        <w:rPr>
          <w:rFonts w:ascii="Times New Roman" w:hAnsi="Times New Roman" w:cs="Times New Roman"/>
          <w:kern w:val="2"/>
          <w:sz w:val="24"/>
          <w:szCs w:val="24"/>
        </w:rPr>
        <w:t xml:space="preserve"> И.Б. Политическая культура: мировоззренческое измерение: </w:t>
      </w:r>
      <w:proofErr w:type="gramStart"/>
      <w:r w:rsidRPr="007A4BFA">
        <w:rPr>
          <w:rFonts w:ascii="Times New Roman" w:hAnsi="Times New Roman" w:cs="Times New Roman"/>
          <w:kern w:val="2"/>
          <w:sz w:val="24"/>
          <w:szCs w:val="24"/>
        </w:rPr>
        <w:t>В</w:t>
      </w:r>
      <w:proofErr w:type="gramEnd"/>
      <w:r w:rsidRPr="007A4BFA">
        <w:rPr>
          <w:rFonts w:ascii="Times New Roman" w:hAnsi="Times New Roman" w:cs="Times New Roman"/>
          <w:kern w:val="2"/>
          <w:sz w:val="24"/>
          <w:szCs w:val="24"/>
        </w:rPr>
        <w:t xml:space="preserve"> 2-х частях. </w:t>
      </w:r>
      <w:proofErr w:type="gramStart"/>
      <w:r w:rsidRPr="007A4BFA">
        <w:rPr>
          <w:rFonts w:ascii="Times New Roman" w:hAnsi="Times New Roman" w:cs="Times New Roman"/>
          <w:kern w:val="2"/>
          <w:sz w:val="24"/>
          <w:szCs w:val="24"/>
        </w:rPr>
        <w:t>СПб.,</w:t>
      </w:r>
      <w:proofErr w:type="gramEnd"/>
      <w:r w:rsidRPr="007A4BFA">
        <w:rPr>
          <w:rFonts w:ascii="Times New Roman" w:hAnsi="Times New Roman" w:cs="Times New Roman"/>
          <w:kern w:val="2"/>
          <w:sz w:val="24"/>
          <w:szCs w:val="24"/>
        </w:rPr>
        <w:t xml:space="preserve"> 1996.</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 xml:space="preserve">Гуманитарные технологии преподавания в высшей школе: уч.-метод. пособие / под ред. Т.В. </w:t>
      </w:r>
      <w:proofErr w:type="spellStart"/>
      <w:r w:rsidRPr="007A4BFA">
        <w:rPr>
          <w:color w:val="000000"/>
        </w:rPr>
        <w:t>Черниковой</w:t>
      </w:r>
      <w:proofErr w:type="spellEnd"/>
      <w:r w:rsidRPr="007A4BFA">
        <w:rPr>
          <w:color w:val="000000"/>
        </w:rPr>
        <w:t>. М.: Планета, 2011.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Гуторов</w:t>
      </w:r>
      <w:proofErr w:type="spellEnd"/>
      <w:r w:rsidRPr="007A4BFA">
        <w:rPr>
          <w:rFonts w:ascii="Times New Roman" w:hAnsi="Times New Roman" w:cs="Times New Roman"/>
          <w:sz w:val="24"/>
          <w:szCs w:val="24"/>
        </w:rPr>
        <w:t xml:space="preserve"> В.А. Современная российская идеология как система и политическая реальность // Полис. 2001. № 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Демидов А. Идеология как инструмент политической коммуникации и власти // Власть. 1998. № 8–9.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proofErr w:type="gramStart"/>
      <w:r w:rsidRPr="007A4BFA">
        <w:rPr>
          <w:rFonts w:ascii="Times New Roman" w:hAnsi="Times New Roman" w:cs="Times New Roman"/>
          <w:sz w:val="24"/>
          <w:szCs w:val="24"/>
        </w:rPr>
        <w:t>Джунусов</w:t>
      </w:r>
      <w:proofErr w:type="spellEnd"/>
      <w:r w:rsidRPr="007A4BFA">
        <w:rPr>
          <w:rFonts w:ascii="Times New Roman" w:hAnsi="Times New Roman" w:cs="Times New Roman"/>
          <w:sz w:val="24"/>
          <w:szCs w:val="24"/>
        </w:rPr>
        <w:t xml:space="preserve">  А.И.</w:t>
      </w:r>
      <w:proofErr w:type="gramEnd"/>
      <w:r w:rsidRPr="007A4BFA">
        <w:rPr>
          <w:rFonts w:ascii="Times New Roman" w:hAnsi="Times New Roman" w:cs="Times New Roman"/>
          <w:sz w:val="24"/>
          <w:szCs w:val="24"/>
        </w:rPr>
        <w:t xml:space="preserve"> Политическая культура: концептуальные аспекты //Социально-политический журнал. 1994.  № 11–12.</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 xml:space="preserve">Евгеньева Т.В., Зверев А.Л. </w:t>
      </w:r>
      <w:proofErr w:type="spellStart"/>
      <w:r w:rsidRPr="007A4BFA">
        <w:rPr>
          <w:color w:val="000000"/>
        </w:rPr>
        <w:t>Компетентностная</w:t>
      </w:r>
      <w:proofErr w:type="spellEnd"/>
      <w:r w:rsidRPr="007A4BFA">
        <w:rPr>
          <w:color w:val="000000"/>
        </w:rPr>
        <w:t xml:space="preserve">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Ильин М.В. Умножение идеологий или проблема </w:t>
      </w:r>
      <w:proofErr w:type="spellStart"/>
      <w:r w:rsidRPr="007A4BFA">
        <w:rPr>
          <w:rFonts w:ascii="Times New Roman" w:hAnsi="Times New Roman" w:cs="Times New Roman"/>
          <w:sz w:val="24"/>
          <w:szCs w:val="24"/>
        </w:rPr>
        <w:t>переводимости</w:t>
      </w:r>
      <w:proofErr w:type="spellEnd"/>
      <w:r w:rsidRPr="007A4BFA">
        <w:rPr>
          <w:rFonts w:ascii="Times New Roman" w:hAnsi="Times New Roman" w:cs="Times New Roman"/>
          <w:sz w:val="24"/>
          <w:szCs w:val="24"/>
        </w:rPr>
        <w:t xml:space="preserve"> политического сознания // Полис. 1997. № 4.</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Касьянова К. О русском национальном характере. М., 1994.</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iCs/>
          <w:color w:val="000000"/>
        </w:rPr>
        <w:t>Коваленко В.И.</w:t>
      </w:r>
      <w:r w:rsidRPr="007A4BFA">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Коваленко В.И., Костин А.И. Политические идеологии: история и современность // Вестник МГУ. Сер. 12. 1997. № 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Козина Е.С. СМИ и выборы. Ресурс и угрозы политического мифотворчества. М. 2005.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Консерватизм в России («Круглый стол») // Социологические исследования. 1993. № 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Липсет</w:t>
      </w:r>
      <w:proofErr w:type="spellEnd"/>
      <w:r w:rsidRPr="007A4BFA">
        <w:rPr>
          <w:rFonts w:ascii="Times New Roman" w:hAnsi="Times New Roman" w:cs="Times New Roman"/>
          <w:sz w:val="24"/>
          <w:szCs w:val="24"/>
        </w:rPr>
        <w:t xml:space="preserve"> С. Роль политической культуры. // Пределы власти, 1994, №2–3, С. 35–40.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Лосев А.Ф. Диалектика мифа. М. 1990. </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 xml:space="preserve">Лурье С. Метаморфозы традиционного сознания. </w:t>
      </w:r>
      <w:proofErr w:type="gramStart"/>
      <w:r w:rsidRPr="007A4BFA">
        <w:rPr>
          <w:rFonts w:ascii="Times New Roman" w:hAnsi="Times New Roman" w:cs="Times New Roman"/>
          <w:kern w:val="2"/>
          <w:sz w:val="24"/>
          <w:szCs w:val="24"/>
        </w:rPr>
        <w:t>СПб.,</w:t>
      </w:r>
      <w:proofErr w:type="gramEnd"/>
      <w:r w:rsidRPr="007A4BFA">
        <w:rPr>
          <w:rFonts w:ascii="Times New Roman" w:hAnsi="Times New Roman" w:cs="Times New Roman"/>
          <w:kern w:val="2"/>
          <w:sz w:val="24"/>
          <w:szCs w:val="24"/>
        </w:rPr>
        <w:t xml:space="preserve"> 1994.</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Май А.В. Модели господствующей идеологии. М., 1997.</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Макаренко В.П. Главные идеологии современности. Ростов на Дону, 2000.</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Малинова</w:t>
      </w:r>
      <w:proofErr w:type="spellEnd"/>
      <w:r w:rsidRPr="007A4BFA">
        <w:rPr>
          <w:rFonts w:ascii="Times New Roman" w:hAnsi="Times New Roman" w:cs="Times New Roman"/>
          <w:sz w:val="24"/>
          <w:szCs w:val="24"/>
        </w:rPr>
        <w:t xml:space="preserve"> О.Ю. «Политическая культура» в российском научном и публичном дискурсе // Полис. 2006. № 5. С.106–128.</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Малинова</w:t>
      </w:r>
      <w:proofErr w:type="spellEnd"/>
      <w:r w:rsidRPr="007A4BFA">
        <w:rPr>
          <w:rFonts w:ascii="Times New Roman" w:hAnsi="Times New Roman" w:cs="Times New Roman"/>
          <w:sz w:val="24"/>
          <w:szCs w:val="24"/>
        </w:rPr>
        <w:t xml:space="preserve"> О.Ю. Партийные идеологии в России: атрибут или антураж? // Полис. 2001. № 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Манхейм К. Идеология и утопия. М.: ИНИОН РАН. М., 1992 Ч. 1, 2..</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 xml:space="preserve">Методология и методика преподавания политической науки / под ред. К.Ф. </w:t>
      </w:r>
      <w:proofErr w:type="spellStart"/>
      <w:r w:rsidRPr="007A4BFA">
        <w:rPr>
          <w:color w:val="000000"/>
        </w:rPr>
        <w:t>Завершинского</w:t>
      </w:r>
      <w:proofErr w:type="spellEnd"/>
      <w:r w:rsidRPr="007A4BFA">
        <w:rPr>
          <w:color w:val="000000"/>
        </w:rPr>
        <w:t xml:space="preserve">, И.В. </w:t>
      </w:r>
      <w:proofErr w:type="spellStart"/>
      <w:r w:rsidRPr="007A4BFA">
        <w:rPr>
          <w:color w:val="000000"/>
        </w:rPr>
        <w:t>Радикова</w:t>
      </w:r>
      <w:proofErr w:type="spellEnd"/>
      <w:r w:rsidRPr="007A4BFA">
        <w:rPr>
          <w:color w:val="000000"/>
        </w:rPr>
        <w:t>. М.: РГ-Пресс, 2013.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bCs/>
          <w:sz w:val="24"/>
          <w:szCs w:val="24"/>
        </w:rPr>
        <w:t>Мийон-Дельсоль</w:t>
      </w:r>
      <w:proofErr w:type="spellEnd"/>
      <w:r w:rsidRPr="007A4BFA">
        <w:rPr>
          <w:rFonts w:ascii="Times New Roman" w:hAnsi="Times New Roman" w:cs="Times New Roman"/>
          <w:bCs/>
          <w:sz w:val="24"/>
          <w:szCs w:val="24"/>
        </w:rPr>
        <w:t xml:space="preserve"> Ш. </w:t>
      </w:r>
      <w:r w:rsidRPr="007A4BFA">
        <w:rPr>
          <w:rFonts w:ascii="Times New Roman" w:hAnsi="Times New Roman" w:cs="Times New Roman"/>
          <w:sz w:val="24"/>
          <w:szCs w:val="24"/>
        </w:rPr>
        <w:t>Политические идеи ХХ века / Пер. с франц. М.: Конкорд, 1995.</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bCs/>
          <w:color w:val="000000"/>
        </w:rPr>
        <w:t>Педагогика и психология высшей школы: Учебное пособие / под ред. М.В. Булановой-Топорковой. Ростов-на-Дону: Феникс, 2002.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Перевезенцев</w:t>
      </w:r>
      <w:proofErr w:type="spellEnd"/>
      <w:r w:rsidRPr="007A4BFA">
        <w:rPr>
          <w:rFonts w:ascii="Times New Roman" w:hAnsi="Times New Roman" w:cs="Times New Roman"/>
          <w:sz w:val="24"/>
          <w:szCs w:val="24"/>
        </w:rPr>
        <w:t xml:space="preserve"> С.В. Святорусское царство. Арзамас, 2005. </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lastRenderedPageBreak/>
        <w:t xml:space="preserve">Петров А.В. Дискуссия и принятие решений в группе: технология </w:t>
      </w:r>
      <w:proofErr w:type="spellStart"/>
      <w:r w:rsidRPr="007A4BFA">
        <w:rPr>
          <w:color w:val="000000"/>
        </w:rPr>
        <w:t>модерации</w:t>
      </w:r>
      <w:proofErr w:type="spellEnd"/>
      <w:r w:rsidRPr="007A4BFA">
        <w:rPr>
          <w:color w:val="000000"/>
        </w:rPr>
        <w:t xml:space="preserve">. </w:t>
      </w:r>
      <w:proofErr w:type="gramStart"/>
      <w:r w:rsidRPr="007A4BFA">
        <w:rPr>
          <w:color w:val="000000"/>
        </w:rPr>
        <w:t>СПб.:</w:t>
      </w:r>
      <w:proofErr w:type="gramEnd"/>
      <w:r w:rsidRPr="007A4BFA">
        <w:rPr>
          <w:color w:val="000000"/>
        </w:rPr>
        <w:t xml:space="preserve"> Издательство «Речь», 2005.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Пивоваров Ю.С. Политическая культура: методологический очерк. М., 1996.</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 xml:space="preserve">Пикалов Г.А. Теория политической культуры. </w:t>
      </w:r>
      <w:proofErr w:type="gramStart"/>
      <w:r w:rsidRPr="007A4BFA">
        <w:rPr>
          <w:rFonts w:ascii="Times New Roman" w:hAnsi="Times New Roman" w:cs="Times New Roman"/>
          <w:kern w:val="2"/>
          <w:sz w:val="24"/>
          <w:szCs w:val="24"/>
        </w:rPr>
        <w:t>СПб.,</w:t>
      </w:r>
      <w:proofErr w:type="gramEnd"/>
      <w:r w:rsidRPr="007A4BFA">
        <w:rPr>
          <w:rFonts w:ascii="Times New Roman" w:hAnsi="Times New Roman" w:cs="Times New Roman"/>
          <w:kern w:val="2"/>
          <w:sz w:val="24"/>
          <w:szCs w:val="24"/>
        </w:rPr>
        <w:t xml:space="preserve"> 2004.</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Плюханова</w:t>
      </w:r>
      <w:proofErr w:type="spellEnd"/>
      <w:r w:rsidRPr="007A4BFA">
        <w:rPr>
          <w:rFonts w:ascii="Times New Roman" w:hAnsi="Times New Roman" w:cs="Times New Roman"/>
          <w:sz w:val="24"/>
          <w:szCs w:val="24"/>
        </w:rPr>
        <w:t xml:space="preserve"> М.Б. Сюжеты и символы Московского царства. М., 1995.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Политическая культура: теория и национальные модели /Под. ред. С.К. Гаджиева. М., 2003. </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 xml:space="preserve">Политическая наука в Западной Европе / Под ред. </w:t>
      </w:r>
      <w:proofErr w:type="spellStart"/>
      <w:r w:rsidRPr="007A4BFA">
        <w:rPr>
          <w:color w:val="000000"/>
        </w:rPr>
        <w:t>Ханса</w:t>
      </w:r>
      <w:proofErr w:type="spellEnd"/>
      <w:r w:rsidRPr="007A4BFA">
        <w:rPr>
          <w:color w:val="000000"/>
        </w:rPr>
        <w:t xml:space="preserve">-Дитера </w:t>
      </w:r>
      <w:proofErr w:type="spellStart"/>
      <w:r w:rsidRPr="007A4BFA">
        <w:rPr>
          <w:color w:val="000000"/>
        </w:rPr>
        <w:t>Клингеманна</w:t>
      </w:r>
      <w:proofErr w:type="spellEnd"/>
      <w:r w:rsidRPr="007A4BFA">
        <w:rPr>
          <w:color w:val="000000"/>
        </w:rPr>
        <w:t xml:space="preserve">; </w:t>
      </w:r>
      <w:proofErr w:type="spellStart"/>
      <w:r w:rsidRPr="007A4BFA">
        <w:rPr>
          <w:color w:val="000000"/>
        </w:rPr>
        <w:t>пер.с</w:t>
      </w:r>
      <w:proofErr w:type="spellEnd"/>
      <w:r w:rsidRPr="007A4BFA">
        <w:rPr>
          <w:color w:val="000000"/>
        </w:rPr>
        <w:t xml:space="preserve"> англ. </w:t>
      </w:r>
      <w:proofErr w:type="spellStart"/>
      <w:r w:rsidRPr="007A4BFA">
        <w:rPr>
          <w:color w:val="000000"/>
        </w:rPr>
        <w:t>М.Гурвица</w:t>
      </w:r>
      <w:proofErr w:type="spellEnd"/>
      <w:r w:rsidRPr="007A4BFA">
        <w:rPr>
          <w:color w:val="000000"/>
        </w:rPr>
        <w:t xml:space="preserve">, </w:t>
      </w:r>
      <w:proofErr w:type="spellStart"/>
      <w:r w:rsidRPr="007A4BFA">
        <w:rPr>
          <w:color w:val="000000"/>
        </w:rPr>
        <w:t>А.Демчука</w:t>
      </w:r>
      <w:proofErr w:type="spellEnd"/>
      <w:r w:rsidRPr="007A4BFA">
        <w:rPr>
          <w:color w:val="000000"/>
        </w:rPr>
        <w:t xml:space="preserve"> и др.; под ред. </w:t>
      </w:r>
      <w:proofErr w:type="spellStart"/>
      <w:r w:rsidRPr="007A4BFA">
        <w:rPr>
          <w:color w:val="000000"/>
        </w:rPr>
        <w:t>Е.Б.Шестопал</w:t>
      </w:r>
      <w:proofErr w:type="spellEnd"/>
      <w:r w:rsidRPr="007A4BFA">
        <w:rPr>
          <w:color w:val="000000"/>
        </w:rPr>
        <w:t>. М.: Аспект Пресс, 2009.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 xml:space="preserve">Политическая наука: новые направления / Под ред. Р. </w:t>
      </w:r>
      <w:proofErr w:type="spellStart"/>
      <w:r w:rsidRPr="007A4BFA">
        <w:rPr>
          <w:rFonts w:ascii="Times New Roman" w:hAnsi="Times New Roman" w:cs="Times New Roman"/>
          <w:kern w:val="2"/>
          <w:sz w:val="24"/>
          <w:szCs w:val="24"/>
        </w:rPr>
        <w:t>Гудина</w:t>
      </w:r>
      <w:proofErr w:type="spellEnd"/>
      <w:r w:rsidRPr="007A4BFA">
        <w:rPr>
          <w:rFonts w:ascii="Times New Roman" w:hAnsi="Times New Roman" w:cs="Times New Roman"/>
          <w:kern w:val="2"/>
          <w:sz w:val="24"/>
          <w:szCs w:val="24"/>
        </w:rPr>
        <w:t xml:space="preserve"> и Х.-Д. </w:t>
      </w:r>
      <w:proofErr w:type="spellStart"/>
      <w:r w:rsidRPr="007A4BFA">
        <w:rPr>
          <w:rFonts w:ascii="Times New Roman" w:hAnsi="Times New Roman" w:cs="Times New Roman"/>
          <w:kern w:val="2"/>
          <w:sz w:val="24"/>
          <w:szCs w:val="24"/>
        </w:rPr>
        <w:t>Клингемана</w:t>
      </w:r>
      <w:proofErr w:type="spellEnd"/>
      <w:r w:rsidRPr="007A4BFA">
        <w:rPr>
          <w:rFonts w:ascii="Times New Roman" w:hAnsi="Times New Roman" w:cs="Times New Roman"/>
          <w:kern w:val="2"/>
          <w:sz w:val="24"/>
          <w:szCs w:val="24"/>
        </w:rPr>
        <w:t xml:space="preserve"> / Науч. ред. русского издания проф. Е.Б. </w:t>
      </w:r>
      <w:proofErr w:type="spellStart"/>
      <w:r w:rsidRPr="007A4BFA">
        <w:rPr>
          <w:rFonts w:ascii="Times New Roman" w:hAnsi="Times New Roman" w:cs="Times New Roman"/>
          <w:kern w:val="2"/>
          <w:sz w:val="24"/>
          <w:szCs w:val="24"/>
        </w:rPr>
        <w:t>Шестопал</w:t>
      </w:r>
      <w:proofErr w:type="spellEnd"/>
      <w:r w:rsidRPr="007A4BFA">
        <w:rPr>
          <w:rFonts w:ascii="Times New Roman" w:hAnsi="Times New Roman" w:cs="Times New Roman"/>
          <w:kern w:val="2"/>
          <w:sz w:val="24"/>
          <w:szCs w:val="24"/>
        </w:rPr>
        <w:t>, М.: Вече, 1999.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Поппер К. Открытое общество и его враги. М., 1991. Т. 1–2.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iCs/>
          <w:sz w:val="24"/>
          <w:szCs w:val="24"/>
        </w:rPr>
        <w:t xml:space="preserve">Рукавишников В.О., </w:t>
      </w:r>
      <w:proofErr w:type="spellStart"/>
      <w:r w:rsidRPr="007A4BFA">
        <w:rPr>
          <w:rFonts w:ascii="Times New Roman" w:hAnsi="Times New Roman" w:cs="Times New Roman"/>
          <w:iCs/>
          <w:sz w:val="24"/>
          <w:szCs w:val="24"/>
        </w:rPr>
        <w:t>Халман</w:t>
      </w:r>
      <w:proofErr w:type="spellEnd"/>
      <w:r w:rsidRPr="007A4BFA">
        <w:rPr>
          <w:rFonts w:ascii="Times New Roman" w:hAnsi="Times New Roman" w:cs="Times New Roman"/>
          <w:iCs/>
          <w:sz w:val="24"/>
          <w:szCs w:val="24"/>
        </w:rPr>
        <w:t xml:space="preserve"> Л, </w:t>
      </w:r>
      <w:proofErr w:type="spellStart"/>
      <w:r w:rsidRPr="007A4BFA">
        <w:rPr>
          <w:rFonts w:ascii="Times New Roman" w:hAnsi="Times New Roman" w:cs="Times New Roman"/>
          <w:iCs/>
          <w:sz w:val="24"/>
          <w:szCs w:val="24"/>
        </w:rPr>
        <w:t>Эстер</w:t>
      </w:r>
      <w:proofErr w:type="spellEnd"/>
      <w:r w:rsidRPr="007A4BFA">
        <w:rPr>
          <w:rFonts w:ascii="Times New Roman" w:hAnsi="Times New Roman" w:cs="Times New Roman"/>
          <w:iCs/>
          <w:sz w:val="24"/>
          <w:szCs w:val="24"/>
        </w:rPr>
        <w:t xml:space="preserve"> П.</w:t>
      </w:r>
      <w:r w:rsidRPr="007A4BFA">
        <w:rPr>
          <w:rFonts w:ascii="Times New Roman" w:hAnsi="Times New Roman" w:cs="Times New Roman"/>
          <w:sz w:val="24"/>
          <w:szCs w:val="24"/>
        </w:rPr>
        <w:t xml:space="preserve"> Политические культуры и социальные изменения. Международные сравнения / Пер. с англ. М.: “Совпадение”, 1998.</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Самуэль</w:t>
      </w:r>
      <w:proofErr w:type="spellEnd"/>
      <w:r w:rsidRPr="007A4BFA">
        <w:rPr>
          <w:rFonts w:ascii="Times New Roman" w:hAnsi="Times New Roman" w:cs="Times New Roman"/>
          <w:sz w:val="24"/>
          <w:szCs w:val="24"/>
        </w:rPr>
        <w:t xml:space="preserve"> Г. Либерализм. М., 1906.</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Санистебан</w:t>
      </w:r>
      <w:proofErr w:type="spellEnd"/>
      <w:r w:rsidRPr="007A4BFA">
        <w:rPr>
          <w:rFonts w:ascii="Times New Roman" w:hAnsi="Times New Roman" w:cs="Times New Roman"/>
          <w:sz w:val="24"/>
          <w:szCs w:val="24"/>
        </w:rPr>
        <w:t xml:space="preserve"> Л. Политика и идеология // Диалог. 1993. № 8–9.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Сартори</w:t>
      </w:r>
      <w:proofErr w:type="spellEnd"/>
      <w:r w:rsidRPr="007A4BFA">
        <w:rPr>
          <w:rFonts w:ascii="Times New Roman" w:hAnsi="Times New Roman" w:cs="Times New Roman"/>
          <w:sz w:val="24"/>
          <w:szCs w:val="24"/>
        </w:rPr>
        <w:t xml:space="preserve"> Дж. Вертикальная демократия // Полис. 1993. № 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Седов Л.А. Традиционные черты российской политической культуры в их современном преломлении // Общественные науки и современность. 2006. № 3.</w:t>
      </w:r>
    </w:p>
    <w:p w:rsidR="00A67FC9" w:rsidRPr="007A4BFA" w:rsidRDefault="00A67FC9" w:rsidP="007A4BFA">
      <w:pPr>
        <w:pStyle w:val="a8"/>
        <w:numPr>
          <w:ilvl w:val="0"/>
          <w:numId w:val="26"/>
        </w:numPr>
        <w:spacing w:before="0" w:beforeAutospacing="0" w:after="0" w:afterAutospacing="0" w:line="276" w:lineRule="auto"/>
        <w:jc w:val="both"/>
        <w:rPr>
          <w:color w:val="000000"/>
        </w:rPr>
      </w:pPr>
      <w:proofErr w:type="spellStart"/>
      <w:r w:rsidRPr="007A4BFA">
        <w:rPr>
          <w:color w:val="000000"/>
        </w:rPr>
        <w:t>Сидельникова</w:t>
      </w:r>
      <w:proofErr w:type="spellEnd"/>
      <w:r w:rsidRPr="007A4BFA">
        <w:rPr>
          <w:color w:val="000000"/>
        </w:rPr>
        <w:t xml:space="preserve">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A67FC9" w:rsidRPr="007A4BFA" w:rsidRDefault="00A67FC9" w:rsidP="007A4BFA">
      <w:pPr>
        <w:pStyle w:val="a8"/>
        <w:numPr>
          <w:ilvl w:val="0"/>
          <w:numId w:val="26"/>
        </w:numPr>
        <w:spacing w:before="0" w:beforeAutospacing="0" w:after="0" w:afterAutospacing="0" w:line="276" w:lineRule="auto"/>
        <w:jc w:val="both"/>
        <w:rPr>
          <w:color w:val="000000"/>
        </w:rPr>
      </w:pPr>
      <w:proofErr w:type="spellStart"/>
      <w:r w:rsidRPr="007A4BFA">
        <w:rPr>
          <w:color w:val="000000"/>
        </w:rPr>
        <w:t>Сидельникова</w:t>
      </w:r>
      <w:proofErr w:type="spellEnd"/>
      <w:r w:rsidRPr="007A4BFA">
        <w:rPr>
          <w:color w:val="000000"/>
        </w:rPr>
        <w:t xml:space="preserve"> Т.Т. Коммуникативная составляющая в профессиональной подготовке студентов вуза: опыт и научно-методическое обеспечение: на примере курса «Политическая риторика». М.: НИИВО, 2004.</w:t>
      </w:r>
    </w:p>
    <w:p w:rsidR="00A67FC9" w:rsidRPr="007A4BFA" w:rsidRDefault="00A67FC9" w:rsidP="007A4BFA">
      <w:pPr>
        <w:pStyle w:val="a8"/>
        <w:numPr>
          <w:ilvl w:val="0"/>
          <w:numId w:val="26"/>
        </w:numPr>
        <w:spacing w:before="0" w:beforeAutospacing="0" w:after="0" w:afterAutospacing="0" w:line="276" w:lineRule="auto"/>
        <w:jc w:val="both"/>
        <w:rPr>
          <w:color w:val="000000"/>
        </w:rPr>
      </w:pPr>
      <w:proofErr w:type="spellStart"/>
      <w:r w:rsidRPr="007A4BFA">
        <w:rPr>
          <w:color w:val="000000"/>
        </w:rPr>
        <w:t>Сидельникова</w:t>
      </w:r>
      <w:proofErr w:type="spellEnd"/>
      <w:r w:rsidRPr="007A4BFA">
        <w:rPr>
          <w:color w:val="000000"/>
        </w:rPr>
        <w:t xml:space="preserve"> Т.Т. Методологические и методические вопросы разработки и применения мультимедийных обучающих программ в системе высшей школы. Казань: Изд-во </w:t>
      </w:r>
      <w:proofErr w:type="spellStart"/>
      <w:r w:rsidRPr="007A4BFA">
        <w:rPr>
          <w:color w:val="000000"/>
        </w:rPr>
        <w:t>Казанск</w:t>
      </w:r>
      <w:proofErr w:type="spellEnd"/>
      <w:r w:rsidRPr="007A4BFA">
        <w:rPr>
          <w:color w:val="000000"/>
        </w:rPr>
        <w:t>. ун-та, 2006.</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Соболева Н.А. Очерки истории российской символики. М., 2006. </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Соловьев А.И. Политическая идеология: логика исторической эволюции // Полис. 2001. № 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color w:val="000000"/>
          <w:sz w:val="24"/>
          <w:szCs w:val="24"/>
        </w:rPr>
        <w:t>Соловьев А.И. Политическое сознание и политическая культура. М., 1999.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bCs/>
          <w:sz w:val="24"/>
          <w:szCs w:val="24"/>
        </w:rPr>
        <w:t>Стрежнева</w:t>
      </w:r>
      <w:proofErr w:type="spellEnd"/>
      <w:r w:rsidRPr="007A4BFA">
        <w:rPr>
          <w:rFonts w:ascii="Times New Roman" w:hAnsi="Times New Roman" w:cs="Times New Roman"/>
          <w:bCs/>
          <w:sz w:val="24"/>
          <w:szCs w:val="24"/>
        </w:rPr>
        <w:t xml:space="preserve"> М.В. Политическая культура в различных интерпретациях: анализ специального понятия // Общественные науки и современность. 2002. №5. С. 141</w:t>
      </w:r>
      <w:r w:rsidRPr="007A4BFA">
        <w:rPr>
          <w:rFonts w:ascii="Times New Roman" w:hAnsi="Times New Roman" w:cs="Times New Roman"/>
          <w:sz w:val="24"/>
          <w:szCs w:val="24"/>
        </w:rPr>
        <w:t>–</w:t>
      </w:r>
      <w:r w:rsidRPr="007A4BFA">
        <w:rPr>
          <w:rFonts w:ascii="Times New Roman" w:hAnsi="Times New Roman" w:cs="Times New Roman"/>
          <w:bCs/>
          <w:sz w:val="24"/>
          <w:szCs w:val="24"/>
        </w:rPr>
        <w:t>155.</w:t>
      </w:r>
    </w:p>
    <w:p w:rsidR="00A67FC9" w:rsidRPr="007A4BFA" w:rsidRDefault="00A67FC9" w:rsidP="007A4BFA">
      <w:pPr>
        <w:pStyle w:val="a8"/>
        <w:numPr>
          <w:ilvl w:val="0"/>
          <w:numId w:val="26"/>
        </w:numPr>
        <w:spacing w:before="0" w:beforeAutospacing="0" w:after="0" w:afterAutospacing="0" w:line="276" w:lineRule="auto"/>
        <w:jc w:val="both"/>
        <w:rPr>
          <w:color w:val="000000"/>
        </w:rPr>
      </w:pPr>
      <w:proofErr w:type="spellStart"/>
      <w:r w:rsidRPr="007A4BFA">
        <w:rPr>
          <w:color w:val="000000"/>
        </w:rPr>
        <w:t>Трайнев</w:t>
      </w:r>
      <w:proofErr w:type="spellEnd"/>
      <w:r w:rsidRPr="007A4BFA">
        <w:rPr>
          <w:color w:val="000000"/>
        </w:rPr>
        <w:t xml:space="preserve"> В.А. Деловые игры в учебном процессе: методология разработки и практика проведения. М.: Дашков и К, 2002.</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Трасси</w:t>
      </w:r>
      <w:proofErr w:type="spellEnd"/>
      <w:r w:rsidRPr="007A4BFA">
        <w:rPr>
          <w:rFonts w:ascii="Times New Roman" w:hAnsi="Times New Roman" w:cs="Times New Roman"/>
          <w:sz w:val="24"/>
          <w:szCs w:val="24"/>
        </w:rPr>
        <w:t xml:space="preserve">, </w:t>
      </w:r>
      <w:proofErr w:type="spellStart"/>
      <w:r w:rsidRPr="007A4BFA">
        <w:rPr>
          <w:rFonts w:ascii="Times New Roman" w:hAnsi="Times New Roman" w:cs="Times New Roman"/>
          <w:sz w:val="24"/>
          <w:szCs w:val="24"/>
        </w:rPr>
        <w:t>Дестюд</w:t>
      </w:r>
      <w:proofErr w:type="spellEnd"/>
      <w:r w:rsidRPr="007A4BFA">
        <w:rPr>
          <w:rFonts w:ascii="Times New Roman" w:hAnsi="Times New Roman" w:cs="Times New Roman"/>
          <w:sz w:val="24"/>
          <w:szCs w:val="24"/>
        </w:rPr>
        <w:t xml:space="preserve"> де. Элементы идеологии // Метафизические исследования. СПб. 1999. </w:t>
      </w:r>
      <w:proofErr w:type="spellStart"/>
      <w:r w:rsidRPr="007A4BFA">
        <w:rPr>
          <w:rFonts w:ascii="Times New Roman" w:hAnsi="Times New Roman" w:cs="Times New Roman"/>
          <w:sz w:val="24"/>
          <w:szCs w:val="24"/>
        </w:rPr>
        <w:t>Вып</w:t>
      </w:r>
      <w:proofErr w:type="spellEnd"/>
      <w:r w:rsidRPr="007A4BFA">
        <w:rPr>
          <w:rFonts w:ascii="Times New Roman" w:hAnsi="Times New Roman" w:cs="Times New Roman"/>
          <w:sz w:val="24"/>
          <w:szCs w:val="24"/>
        </w:rPr>
        <w:t>. 11.</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Федорова Л.И. Игра: дидактическая, ролевая, деловая. Решение учебных и профессиональных проблем. М.: ФОРУМ, 2009.</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lastRenderedPageBreak/>
        <w:t>Чанышев</w:t>
      </w:r>
      <w:proofErr w:type="spellEnd"/>
      <w:r w:rsidRPr="007A4BFA">
        <w:rPr>
          <w:rFonts w:ascii="Times New Roman" w:hAnsi="Times New Roman" w:cs="Times New Roman"/>
          <w:sz w:val="24"/>
          <w:szCs w:val="24"/>
        </w:rPr>
        <w:t xml:space="preserve"> А.А. История политических учений. М: Изд-во Проспект, 2007.</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sz w:val="24"/>
          <w:szCs w:val="24"/>
        </w:rPr>
        <w:t xml:space="preserve">Шатилов А. Постсоветские подходы к изучению политической культуры // </w:t>
      </w:r>
      <w:r w:rsidRPr="007A4BFA">
        <w:rPr>
          <w:rFonts w:ascii="Times New Roman" w:hAnsi="Times New Roman" w:cs="Times New Roman"/>
          <w:sz w:val="24"/>
          <w:szCs w:val="24"/>
          <w:lang w:val="en-US"/>
        </w:rPr>
        <w:t>Pro</w:t>
      </w:r>
      <w:r w:rsidRPr="007A4BFA">
        <w:rPr>
          <w:rFonts w:ascii="Times New Roman" w:hAnsi="Times New Roman" w:cs="Times New Roman"/>
          <w:sz w:val="24"/>
          <w:szCs w:val="24"/>
        </w:rPr>
        <w:t xml:space="preserve"> </w:t>
      </w:r>
      <w:r w:rsidRPr="007A4BFA">
        <w:rPr>
          <w:rFonts w:ascii="Times New Roman" w:hAnsi="Times New Roman" w:cs="Times New Roman"/>
          <w:sz w:val="24"/>
          <w:szCs w:val="24"/>
          <w:lang w:val="en-US"/>
        </w:rPr>
        <w:t>et</w:t>
      </w:r>
      <w:r w:rsidRPr="007A4BFA">
        <w:rPr>
          <w:rFonts w:ascii="Times New Roman" w:hAnsi="Times New Roman" w:cs="Times New Roman"/>
          <w:sz w:val="24"/>
          <w:szCs w:val="24"/>
        </w:rPr>
        <w:t xml:space="preserve"> </w:t>
      </w:r>
      <w:r w:rsidRPr="007A4BFA">
        <w:rPr>
          <w:rFonts w:ascii="Times New Roman" w:hAnsi="Times New Roman" w:cs="Times New Roman"/>
          <w:sz w:val="24"/>
          <w:szCs w:val="24"/>
          <w:lang w:val="en-US"/>
        </w:rPr>
        <w:t>Contra</w:t>
      </w:r>
      <w:r w:rsidRPr="007A4BFA">
        <w:rPr>
          <w:rFonts w:ascii="Times New Roman" w:hAnsi="Times New Roman" w:cs="Times New Roman"/>
          <w:sz w:val="24"/>
          <w:szCs w:val="24"/>
        </w:rPr>
        <w:t>. Т. 7, 2002, № 3.</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Шейгал</w:t>
      </w:r>
      <w:proofErr w:type="spellEnd"/>
      <w:r w:rsidRPr="007A4BFA">
        <w:rPr>
          <w:rFonts w:ascii="Times New Roman" w:hAnsi="Times New Roman" w:cs="Times New Roman"/>
          <w:sz w:val="24"/>
          <w:szCs w:val="24"/>
        </w:rPr>
        <w:t xml:space="preserve"> Е.И. Семиотика политического дискурса. М.: «</w:t>
      </w:r>
      <w:proofErr w:type="spellStart"/>
      <w:r w:rsidRPr="007A4BFA">
        <w:rPr>
          <w:rFonts w:ascii="Times New Roman" w:hAnsi="Times New Roman" w:cs="Times New Roman"/>
          <w:sz w:val="24"/>
          <w:szCs w:val="24"/>
        </w:rPr>
        <w:t>Гнозис</w:t>
      </w:r>
      <w:proofErr w:type="spellEnd"/>
      <w:r w:rsidRPr="007A4BFA">
        <w:rPr>
          <w:rFonts w:ascii="Times New Roman" w:hAnsi="Times New Roman" w:cs="Times New Roman"/>
          <w:sz w:val="24"/>
          <w:szCs w:val="24"/>
        </w:rPr>
        <w:t>», 2004.</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Ширинянц</w:t>
      </w:r>
      <w:proofErr w:type="spellEnd"/>
      <w:r w:rsidRPr="007A4BFA">
        <w:rPr>
          <w:rFonts w:ascii="Times New Roman" w:hAnsi="Times New Roman" w:cs="Times New Roman"/>
          <w:sz w:val="24"/>
          <w:szCs w:val="24"/>
        </w:rPr>
        <w:t xml:space="preserve"> А.А. Еще раз о политической культуре // </w:t>
      </w:r>
      <w:proofErr w:type="spellStart"/>
      <w:r w:rsidRPr="007A4BFA">
        <w:rPr>
          <w:rFonts w:ascii="Times New Roman" w:hAnsi="Times New Roman" w:cs="Times New Roman"/>
          <w:sz w:val="24"/>
          <w:szCs w:val="24"/>
        </w:rPr>
        <w:t>Schola</w:t>
      </w:r>
      <w:proofErr w:type="spellEnd"/>
      <w:r w:rsidRPr="007A4BFA">
        <w:rPr>
          <w:rFonts w:ascii="Times New Roman" w:hAnsi="Times New Roman" w:cs="Times New Roman"/>
          <w:sz w:val="24"/>
          <w:szCs w:val="24"/>
        </w:rPr>
        <w:t>. 2005. С. 16–31.</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sz w:val="24"/>
          <w:szCs w:val="24"/>
        </w:rPr>
        <w:t>Штекли</w:t>
      </w:r>
      <w:proofErr w:type="spellEnd"/>
      <w:r w:rsidRPr="007A4BFA">
        <w:rPr>
          <w:rFonts w:ascii="Times New Roman" w:hAnsi="Times New Roman" w:cs="Times New Roman"/>
          <w:sz w:val="24"/>
          <w:szCs w:val="24"/>
        </w:rPr>
        <w:t xml:space="preserve"> А.Э. Утопии и социализм. М., 1993. </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iCs/>
          <w:sz w:val="24"/>
          <w:szCs w:val="24"/>
        </w:rPr>
        <w:t>Щегорцов</w:t>
      </w:r>
      <w:proofErr w:type="spellEnd"/>
      <w:r w:rsidRPr="007A4BFA">
        <w:rPr>
          <w:rFonts w:ascii="Times New Roman" w:hAnsi="Times New Roman" w:cs="Times New Roman"/>
          <w:iCs/>
          <w:sz w:val="24"/>
          <w:szCs w:val="24"/>
        </w:rPr>
        <w:t xml:space="preserve"> В.А.</w:t>
      </w:r>
      <w:r w:rsidRPr="007A4BFA">
        <w:rPr>
          <w:rFonts w:ascii="Times New Roman" w:hAnsi="Times New Roman" w:cs="Times New Roman"/>
          <w:sz w:val="24"/>
          <w:szCs w:val="24"/>
        </w:rPr>
        <w:t xml:space="preserve"> Политическая культура: модели и реальность. М., 1992.</w:t>
      </w:r>
    </w:p>
    <w:p w:rsidR="00A67FC9" w:rsidRPr="007A4BFA" w:rsidRDefault="00A67FC9" w:rsidP="007A4BFA">
      <w:pPr>
        <w:pStyle w:val="a8"/>
        <w:numPr>
          <w:ilvl w:val="0"/>
          <w:numId w:val="26"/>
        </w:numPr>
        <w:spacing w:before="0" w:beforeAutospacing="0" w:after="0" w:afterAutospacing="0" w:line="276" w:lineRule="auto"/>
        <w:jc w:val="both"/>
        <w:rPr>
          <w:color w:val="000000"/>
        </w:rPr>
      </w:pPr>
      <w:r w:rsidRPr="007A4BFA">
        <w:rPr>
          <w:color w:val="000000"/>
        </w:rPr>
        <w:t>Щербинин А.И. Политическое образование: Учебное пособие. М.: Весь мир, 2005.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r w:rsidRPr="007A4BFA">
        <w:rPr>
          <w:rFonts w:ascii="Times New Roman" w:hAnsi="Times New Roman" w:cs="Times New Roman"/>
          <w:kern w:val="2"/>
          <w:sz w:val="24"/>
          <w:szCs w:val="24"/>
        </w:rPr>
        <w:t>Щербинина Н.Г. Архаика в российской политической культуре // Полис. 1997. № 5.</w:t>
      </w:r>
    </w:p>
    <w:p w:rsidR="00A67FC9" w:rsidRPr="007A4BFA" w:rsidRDefault="00A67FC9" w:rsidP="007A4BFA">
      <w:pPr>
        <w:numPr>
          <w:ilvl w:val="0"/>
          <w:numId w:val="26"/>
        </w:numPr>
        <w:autoSpaceDN w:val="0"/>
        <w:spacing w:after="0" w:line="276" w:lineRule="auto"/>
        <w:jc w:val="both"/>
        <w:rPr>
          <w:rFonts w:ascii="Times New Roman" w:hAnsi="Times New Roman" w:cs="Times New Roman"/>
          <w:sz w:val="24"/>
          <w:szCs w:val="24"/>
        </w:rPr>
      </w:pPr>
      <w:proofErr w:type="spellStart"/>
      <w:r w:rsidRPr="007A4BFA">
        <w:rPr>
          <w:rFonts w:ascii="Times New Roman" w:hAnsi="Times New Roman" w:cs="Times New Roman"/>
          <w:iCs/>
          <w:sz w:val="24"/>
          <w:szCs w:val="24"/>
        </w:rPr>
        <w:t>Юрганов</w:t>
      </w:r>
      <w:proofErr w:type="spellEnd"/>
      <w:r w:rsidRPr="007A4BFA">
        <w:rPr>
          <w:rFonts w:ascii="Times New Roman" w:hAnsi="Times New Roman" w:cs="Times New Roman"/>
          <w:iCs/>
          <w:sz w:val="24"/>
          <w:szCs w:val="24"/>
        </w:rPr>
        <w:t xml:space="preserve"> А.Л.</w:t>
      </w:r>
      <w:r w:rsidRPr="007A4BFA">
        <w:rPr>
          <w:rFonts w:ascii="Times New Roman" w:hAnsi="Times New Roman" w:cs="Times New Roman"/>
          <w:sz w:val="24"/>
          <w:szCs w:val="24"/>
        </w:rPr>
        <w:t xml:space="preserve"> Категории русской </w:t>
      </w:r>
      <w:r w:rsidRPr="007A4BFA">
        <w:rPr>
          <w:rFonts w:ascii="Times New Roman" w:hAnsi="Times New Roman" w:cs="Times New Roman"/>
          <w:kern w:val="2"/>
          <w:sz w:val="24"/>
          <w:szCs w:val="24"/>
        </w:rPr>
        <w:t>средневековой</w:t>
      </w:r>
      <w:r w:rsidRPr="007A4BFA">
        <w:rPr>
          <w:rFonts w:ascii="Times New Roman" w:hAnsi="Times New Roman" w:cs="Times New Roman"/>
          <w:sz w:val="24"/>
          <w:szCs w:val="24"/>
        </w:rPr>
        <w:t xml:space="preserve"> культуры. М., 1999. </w:t>
      </w:r>
    </w:p>
    <w:p w:rsidR="00762BE1" w:rsidRPr="00777A5E" w:rsidRDefault="00762BE1" w:rsidP="00485BF1">
      <w:pPr>
        <w:autoSpaceDE w:val="0"/>
        <w:autoSpaceDN w:val="0"/>
        <w:adjustRightInd w:val="0"/>
        <w:spacing w:after="0" w:line="288" w:lineRule="auto"/>
        <w:jc w:val="both"/>
        <w:rPr>
          <w:rFonts w:ascii="Times" w:hAnsi="Times" w:cs="Times New Roman"/>
          <w:szCs w:val="24"/>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w:t>
      </w:r>
      <w:proofErr w:type="spellStart"/>
      <w:r w:rsidRPr="008D3F21">
        <w:rPr>
          <w:szCs w:val="28"/>
        </w:rPr>
        <w:t>сформированности</w:t>
      </w:r>
      <w:proofErr w:type="spellEnd"/>
      <w:r w:rsidRPr="008D3F21">
        <w:rPr>
          <w:szCs w:val="28"/>
        </w:rPr>
        <w:t xml:space="preserve">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proofErr w:type="gramStart"/>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w:t>
      </w:r>
      <w:proofErr w:type="gramEnd"/>
      <w:r w:rsidRPr="00F217D9">
        <w:rPr>
          <w:rFonts w:ascii="Times New Roman" w:hAnsi="Times New Roman" w:cs="Times New Roman"/>
          <w:sz w:val="24"/>
          <w:szCs w:val="28"/>
        </w:rPr>
        <w:t xml:space="preserve">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proofErr w:type="spellStart"/>
      <w:r w:rsidR="007A18BD" w:rsidRPr="004E17FB">
        <w:rPr>
          <w:rFonts w:ascii="Times New Roman" w:hAnsi="Times New Roman" w:cs="Times New Roman"/>
          <w:sz w:val="24"/>
          <w:szCs w:val="28"/>
        </w:rPr>
        <w:t>докторы</w:t>
      </w:r>
      <w:proofErr w:type="spellEnd"/>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 xml:space="preserve">является кратким изложением </w:t>
      </w:r>
      <w:proofErr w:type="spellStart"/>
      <w:r w:rsidRPr="00F657B9">
        <w:rPr>
          <w:szCs w:val="27"/>
        </w:rPr>
        <w:t>начно</w:t>
      </w:r>
      <w:proofErr w:type="spellEnd"/>
      <w:r w:rsidRPr="00F657B9">
        <w:rPr>
          <w:szCs w:val="27"/>
        </w:rPr>
        <w:t>-квалификационной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w:t>
      </w:r>
      <w:proofErr w:type="spellStart"/>
      <w:r w:rsidRPr="004E17FB">
        <w:rPr>
          <w:szCs w:val="28"/>
        </w:rPr>
        <w:t>сформированности</w:t>
      </w:r>
      <w:proofErr w:type="spellEnd"/>
      <w:r w:rsidRPr="004E17FB">
        <w:rPr>
          <w:szCs w:val="28"/>
        </w:rPr>
        <w:t xml:space="preserve">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w:t>
      </w:r>
      <w:r w:rsidR="00D33A92" w:rsidRPr="00250961">
        <w:rPr>
          <w:rFonts w:ascii="Times New Roman" w:hAnsi="Times New Roman" w:cs="Times New Roman"/>
          <w:sz w:val="24"/>
          <w:szCs w:val="28"/>
        </w:rPr>
        <w:lastRenderedPageBreak/>
        <w:t>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Serif">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5"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7"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2"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6ED52B4E"/>
    <w:multiLevelType w:val="hybridMultilevel"/>
    <w:tmpl w:val="DC5C56E8"/>
    <w:lvl w:ilvl="0" w:tplc="0419000F">
      <w:start w:val="1"/>
      <w:numFmt w:val="decimal"/>
      <w:lvlText w:val="%1."/>
      <w:lvlJc w:val="left"/>
      <w:pPr>
        <w:tabs>
          <w:tab w:val="num" w:pos="1101"/>
        </w:tabs>
        <w:ind w:left="11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21"/>
  </w:num>
  <w:num w:numId="4">
    <w:abstractNumId w:val="30"/>
  </w:num>
  <w:num w:numId="5">
    <w:abstractNumId w:val="16"/>
  </w:num>
  <w:num w:numId="6">
    <w:abstractNumId w:val="7"/>
  </w:num>
  <w:num w:numId="7">
    <w:abstractNumId w:val="2"/>
  </w:num>
  <w:num w:numId="8">
    <w:abstractNumId w:val="22"/>
  </w:num>
  <w:num w:numId="9">
    <w:abstractNumId w:val="1"/>
  </w:num>
  <w:num w:numId="10">
    <w:abstractNumId w:val="24"/>
  </w:num>
  <w:num w:numId="11">
    <w:abstractNumId w:val="0"/>
  </w:num>
  <w:num w:numId="12">
    <w:abstractNumId w:val="26"/>
  </w:num>
  <w:num w:numId="13">
    <w:abstractNumId w:val="4"/>
  </w:num>
  <w:num w:numId="14">
    <w:abstractNumId w:val="29"/>
  </w:num>
  <w:num w:numId="15">
    <w:abstractNumId w:val="13"/>
  </w:num>
  <w:num w:numId="16">
    <w:abstractNumId w:val="23"/>
  </w:num>
  <w:num w:numId="17">
    <w:abstractNumId w:val="25"/>
  </w:num>
  <w:num w:numId="18">
    <w:abstractNumId w:val="17"/>
  </w:num>
  <w:num w:numId="19">
    <w:abstractNumId w:val="10"/>
  </w:num>
  <w:num w:numId="20">
    <w:abstractNumId w:val="6"/>
  </w:num>
  <w:num w:numId="21">
    <w:abstractNumId w:val="18"/>
  </w:num>
  <w:num w:numId="22">
    <w:abstractNumId w:val="19"/>
  </w:num>
  <w:num w:numId="23">
    <w:abstractNumId w:val="9"/>
  </w:num>
  <w:num w:numId="24">
    <w:abstractNumId w:val="14"/>
  </w:num>
  <w:num w:numId="25">
    <w:abstractNumId w:val="12"/>
  </w:num>
  <w:num w:numId="26">
    <w:abstractNumId w:val="20"/>
  </w:num>
  <w:num w:numId="27">
    <w:abstractNumId w:val="15"/>
  </w:num>
  <w:num w:numId="28">
    <w:abstractNumId w:val="5"/>
  </w:num>
  <w:num w:numId="29">
    <w:abstractNumId w:val="8"/>
  </w:num>
  <w:num w:numId="30">
    <w:abstractNumId w:val="11"/>
  </w:num>
  <w:num w:numId="31">
    <w:abstractNumId w:val="3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87789"/>
    <w:rsid w:val="000E4489"/>
    <w:rsid w:val="00147E52"/>
    <w:rsid w:val="00173942"/>
    <w:rsid w:val="001A26EB"/>
    <w:rsid w:val="001A5503"/>
    <w:rsid w:val="00215344"/>
    <w:rsid w:val="00216681"/>
    <w:rsid w:val="00233BFB"/>
    <w:rsid w:val="00250961"/>
    <w:rsid w:val="002759B3"/>
    <w:rsid w:val="00285E95"/>
    <w:rsid w:val="002A2E77"/>
    <w:rsid w:val="002F49E5"/>
    <w:rsid w:val="002F6B10"/>
    <w:rsid w:val="00311CFE"/>
    <w:rsid w:val="00321689"/>
    <w:rsid w:val="0033793B"/>
    <w:rsid w:val="00354EBB"/>
    <w:rsid w:val="003608E3"/>
    <w:rsid w:val="003944AC"/>
    <w:rsid w:val="003A184B"/>
    <w:rsid w:val="003D2E45"/>
    <w:rsid w:val="003E7DE9"/>
    <w:rsid w:val="00427E49"/>
    <w:rsid w:val="00433A1C"/>
    <w:rsid w:val="0045290E"/>
    <w:rsid w:val="0046319F"/>
    <w:rsid w:val="00471D27"/>
    <w:rsid w:val="00483EFB"/>
    <w:rsid w:val="00485BF1"/>
    <w:rsid w:val="0048777D"/>
    <w:rsid w:val="004927AF"/>
    <w:rsid w:val="004C0624"/>
    <w:rsid w:val="004D6E12"/>
    <w:rsid w:val="004E17FB"/>
    <w:rsid w:val="00533AC6"/>
    <w:rsid w:val="00584507"/>
    <w:rsid w:val="005C1770"/>
    <w:rsid w:val="005C1E9E"/>
    <w:rsid w:val="005D53C3"/>
    <w:rsid w:val="00737EC7"/>
    <w:rsid w:val="007419E9"/>
    <w:rsid w:val="00751663"/>
    <w:rsid w:val="00762A6A"/>
    <w:rsid w:val="00762BE1"/>
    <w:rsid w:val="00777A5E"/>
    <w:rsid w:val="007A18BD"/>
    <w:rsid w:val="007A4BFA"/>
    <w:rsid w:val="007F6662"/>
    <w:rsid w:val="008115A3"/>
    <w:rsid w:val="008142DB"/>
    <w:rsid w:val="008777AA"/>
    <w:rsid w:val="008A7464"/>
    <w:rsid w:val="008C2918"/>
    <w:rsid w:val="008D3F21"/>
    <w:rsid w:val="008F59B5"/>
    <w:rsid w:val="009762C4"/>
    <w:rsid w:val="009B486F"/>
    <w:rsid w:val="009C576E"/>
    <w:rsid w:val="00A33EC5"/>
    <w:rsid w:val="00A67FC9"/>
    <w:rsid w:val="00A70181"/>
    <w:rsid w:val="00A72B97"/>
    <w:rsid w:val="00A815A7"/>
    <w:rsid w:val="00AA2A52"/>
    <w:rsid w:val="00AA74ED"/>
    <w:rsid w:val="00AB3624"/>
    <w:rsid w:val="00AB4BA4"/>
    <w:rsid w:val="00AC6FE4"/>
    <w:rsid w:val="00AD6381"/>
    <w:rsid w:val="00AD765D"/>
    <w:rsid w:val="00AE0E30"/>
    <w:rsid w:val="00AE6456"/>
    <w:rsid w:val="00B061FA"/>
    <w:rsid w:val="00B1144B"/>
    <w:rsid w:val="00B54A10"/>
    <w:rsid w:val="00B60269"/>
    <w:rsid w:val="00B764BC"/>
    <w:rsid w:val="00B92E86"/>
    <w:rsid w:val="00C23D19"/>
    <w:rsid w:val="00C44FED"/>
    <w:rsid w:val="00C800C1"/>
    <w:rsid w:val="00CA4919"/>
    <w:rsid w:val="00CE1B32"/>
    <w:rsid w:val="00D00C2B"/>
    <w:rsid w:val="00D16937"/>
    <w:rsid w:val="00D32989"/>
    <w:rsid w:val="00D33A92"/>
    <w:rsid w:val="00D75D03"/>
    <w:rsid w:val="00D849F3"/>
    <w:rsid w:val="00E16DA9"/>
    <w:rsid w:val="00E808F0"/>
    <w:rsid w:val="00E84C3B"/>
    <w:rsid w:val="00EB0BCD"/>
    <w:rsid w:val="00ED4A94"/>
    <w:rsid w:val="00EF13A2"/>
    <w:rsid w:val="00EF4D9B"/>
    <w:rsid w:val="00F217D9"/>
    <w:rsid w:val="00F657B9"/>
    <w:rsid w:val="00F75931"/>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38CCB-3A80-427B-BB59-E89D96B2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Учетная запись Майкрософт</cp:lastModifiedBy>
  <cp:revision>6</cp:revision>
  <dcterms:created xsi:type="dcterms:W3CDTF">2017-01-16T13:32:00Z</dcterms:created>
  <dcterms:modified xsi:type="dcterms:W3CDTF">2017-01-20T07:33:00Z</dcterms:modified>
</cp:coreProperties>
</file>