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80D4" w14:textId="77777777" w:rsidR="00110ADD" w:rsidRPr="00567DD8"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567DD8">
        <w:rPr>
          <w:rFonts w:ascii="Times New Roman" w:hAnsi="Times New Roman" w:cs="Times New Roman"/>
          <w:color w:val="333333"/>
          <w:sz w:val="30"/>
          <w:szCs w:val="30"/>
          <w:lang w:val="en-US" w:eastAsia="ru-RU"/>
        </w:rPr>
        <w:t>POST-SOVIET PUBLIC POLICY</w:t>
      </w:r>
    </w:p>
    <w:p w14:paraId="39FB0BC0" w14:textId="77777777" w:rsidR="00567DD8" w:rsidRPr="00567DD8" w:rsidRDefault="00567DD8" w:rsidP="00567DD8">
      <w:pPr>
        <w:rPr>
          <w:rFonts w:ascii="Times New Roman" w:eastAsia="Times New Roman" w:hAnsi="Times New Roman" w:cs="Times New Roman"/>
          <w:lang w:val="en-US" w:eastAsia="ru-RU"/>
        </w:rPr>
      </w:pPr>
      <w:r w:rsidRPr="00567DD8">
        <w:rPr>
          <w:rFonts w:ascii="Arial" w:eastAsia="Times New Roman" w:hAnsi="Arial" w:cs="Arial"/>
          <w:color w:val="333333"/>
          <w:sz w:val="27"/>
          <w:szCs w:val="27"/>
          <w:lang w:val="en-US" w:eastAsia="ru-RU"/>
        </w:rPr>
        <w:t>Research supervisor: doctor of political Sciences, head of the Department of public policy o</w:t>
      </w:r>
      <w:bookmarkStart w:id="0" w:name="_GoBack"/>
      <w:bookmarkEnd w:id="0"/>
      <w:r w:rsidRPr="00567DD8">
        <w:rPr>
          <w:rFonts w:ascii="Arial" w:eastAsia="Times New Roman" w:hAnsi="Arial" w:cs="Arial"/>
          <w:color w:val="333333"/>
          <w:sz w:val="27"/>
          <w:szCs w:val="27"/>
          <w:lang w:val="en-US" w:eastAsia="ru-RU"/>
        </w:rPr>
        <w:t xml:space="preserve">f the faculty of political science of Moscow state University Vladimir </w:t>
      </w:r>
      <w:proofErr w:type="spellStart"/>
      <w:r w:rsidRPr="00567DD8">
        <w:rPr>
          <w:rFonts w:ascii="Arial" w:eastAsia="Times New Roman" w:hAnsi="Arial" w:cs="Arial"/>
          <w:color w:val="333333"/>
          <w:sz w:val="27"/>
          <w:szCs w:val="27"/>
          <w:lang w:val="en-US" w:eastAsia="ru-RU"/>
        </w:rPr>
        <w:t>Yakunin</w:t>
      </w:r>
      <w:proofErr w:type="spellEnd"/>
      <w:r w:rsidRPr="00567DD8">
        <w:rPr>
          <w:rFonts w:ascii="Arial" w:eastAsia="Times New Roman" w:hAnsi="Arial" w:cs="Arial"/>
          <w:color w:val="333333"/>
          <w:sz w:val="27"/>
          <w:szCs w:val="27"/>
          <w:lang w:val="en-US" w:eastAsia="ru-RU"/>
        </w:rPr>
        <w:t>.</w:t>
      </w:r>
    </w:p>
    <w:p w14:paraId="6EFE8A35" w14:textId="77777777" w:rsidR="00567DD8" w:rsidRPr="00567DD8" w:rsidRDefault="00567DD8" w:rsidP="00567DD8">
      <w:pPr>
        <w:rPr>
          <w:rFonts w:ascii="Times New Roman" w:eastAsia="Times New Roman" w:hAnsi="Times New Roman" w:cs="Times New Roman"/>
          <w:lang w:val="en-US" w:eastAsia="ru-RU"/>
        </w:rPr>
      </w:pPr>
    </w:p>
    <w:p w14:paraId="3608FBB4" w14:textId="77777777" w:rsidR="00110ADD" w:rsidRPr="00110ADD"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110ADD">
        <w:rPr>
          <w:rFonts w:ascii="Times New Roman" w:hAnsi="Times New Roman" w:cs="Times New Roman"/>
          <w:color w:val="333333"/>
          <w:sz w:val="30"/>
          <w:szCs w:val="30"/>
          <w:lang w:val="en-US" w:eastAsia="ru-RU"/>
        </w:rPr>
        <w:t xml:space="preserve">The new MSU Master in Public Policy on Post-Soviet Space is a two-year degree designed to prepare future professionals in all dimensions of public affairs for a great diversity of careers worldwide. The </w:t>
      </w:r>
      <w:proofErr w:type="spellStart"/>
      <w:r w:rsidRPr="00110ADD">
        <w:rPr>
          <w:rFonts w:ascii="Times New Roman" w:hAnsi="Times New Roman" w:cs="Times New Roman"/>
          <w:color w:val="333333"/>
          <w:sz w:val="30"/>
          <w:szCs w:val="30"/>
          <w:lang w:val="en-US" w:eastAsia="ru-RU"/>
        </w:rPr>
        <w:t>Programme</w:t>
      </w:r>
      <w:proofErr w:type="spellEnd"/>
      <w:r w:rsidRPr="00110ADD">
        <w:rPr>
          <w:rFonts w:ascii="Times New Roman" w:hAnsi="Times New Roman" w:cs="Times New Roman"/>
          <w:color w:val="333333"/>
          <w:sz w:val="30"/>
          <w:szCs w:val="30"/>
          <w:lang w:val="en-US" w:eastAsia="ru-RU"/>
        </w:rPr>
        <w:t xml:space="preserve"> starts in 2018.</w:t>
      </w:r>
    </w:p>
    <w:p w14:paraId="11AD0A53" w14:textId="77777777" w:rsidR="00110ADD" w:rsidRPr="00110ADD"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110ADD">
        <w:rPr>
          <w:rFonts w:ascii="Times New Roman" w:hAnsi="Times New Roman" w:cs="Times New Roman"/>
          <w:color w:val="333333"/>
          <w:sz w:val="30"/>
          <w:szCs w:val="30"/>
          <w:lang w:val="en-US" w:eastAsia="ru-RU"/>
        </w:rPr>
        <w:t xml:space="preserve">The objective of the </w:t>
      </w:r>
      <w:proofErr w:type="spellStart"/>
      <w:r w:rsidRPr="00110ADD">
        <w:rPr>
          <w:rFonts w:ascii="Times New Roman" w:hAnsi="Times New Roman" w:cs="Times New Roman"/>
          <w:color w:val="333333"/>
          <w:sz w:val="30"/>
          <w:szCs w:val="30"/>
          <w:lang w:val="en-US" w:eastAsia="ru-RU"/>
        </w:rPr>
        <w:t>programme</w:t>
      </w:r>
      <w:proofErr w:type="spellEnd"/>
      <w:r w:rsidRPr="00110ADD">
        <w:rPr>
          <w:rFonts w:ascii="Times New Roman" w:hAnsi="Times New Roman" w:cs="Times New Roman"/>
          <w:color w:val="333333"/>
          <w:sz w:val="30"/>
          <w:szCs w:val="30"/>
          <w:lang w:val="en-US" w:eastAsia="ru-RU"/>
        </w:rPr>
        <w:t xml:space="preserve"> is to help students to think critically about complex policy issues, to make decisions and to transform their ideas into action. Besides, the program aims to educate young political scientists and potential policy-makers with deep </w:t>
      </w:r>
      <w:proofErr w:type="spellStart"/>
      <w:r w:rsidRPr="00110ADD">
        <w:rPr>
          <w:rFonts w:ascii="Times New Roman" w:hAnsi="Times New Roman" w:cs="Times New Roman"/>
          <w:color w:val="333333"/>
          <w:sz w:val="30"/>
          <w:szCs w:val="30"/>
          <w:lang w:val="en-US" w:eastAsia="ru-RU"/>
        </w:rPr>
        <w:t>knowledges</w:t>
      </w:r>
      <w:proofErr w:type="spellEnd"/>
      <w:r w:rsidRPr="00110ADD">
        <w:rPr>
          <w:rFonts w:ascii="Times New Roman" w:hAnsi="Times New Roman" w:cs="Times New Roman"/>
          <w:color w:val="333333"/>
          <w:sz w:val="30"/>
          <w:szCs w:val="30"/>
          <w:lang w:val="en-US" w:eastAsia="ru-RU"/>
        </w:rPr>
        <w:t xml:space="preserve"> in fields of Post-Soviet policy-making process and comparative politics. Finally, another principal objective of the </w:t>
      </w:r>
      <w:proofErr w:type="spellStart"/>
      <w:r w:rsidRPr="00110ADD">
        <w:rPr>
          <w:rFonts w:ascii="Times New Roman" w:hAnsi="Times New Roman" w:cs="Times New Roman"/>
          <w:color w:val="333333"/>
          <w:sz w:val="30"/>
          <w:szCs w:val="30"/>
          <w:lang w:val="en-US" w:eastAsia="ru-RU"/>
        </w:rPr>
        <w:t>programme</w:t>
      </w:r>
      <w:proofErr w:type="spellEnd"/>
      <w:r w:rsidRPr="00110ADD">
        <w:rPr>
          <w:rFonts w:ascii="Times New Roman" w:hAnsi="Times New Roman" w:cs="Times New Roman"/>
          <w:color w:val="333333"/>
          <w:sz w:val="30"/>
          <w:szCs w:val="30"/>
          <w:lang w:val="en-US" w:eastAsia="ru-RU"/>
        </w:rPr>
        <w:t xml:space="preserve"> is to provide our students with modern methodology of public policy analysis and elaborate the skills of critical public policy evaluation.</w:t>
      </w:r>
    </w:p>
    <w:p w14:paraId="3671D524" w14:textId="77777777" w:rsidR="00110ADD" w:rsidRPr="00110ADD"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110ADD">
        <w:rPr>
          <w:rFonts w:ascii="Times New Roman" w:hAnsi="Times New Roman" w:cs="Times New Roman"/>
          <w:color w:val="333333"/>
          <w:sz w:val="30"/>
          <w:szCs w:val="30"/>
          <w:lang w:val="en-US" w:eastAsia="ru-RU"/>
        </w:rPr>
        <w:t xml:space="preserve">The </w:t>
      </w:r>
      <w:proofErr w:type="spellStart"/>
      <w:r w:rsidRPr="00110ADD">
        <w:rPr>
          <w:rFonts w:ascii="Times New Roman" w:hAnsi="Times New Roman" w:cs="Times New Roman"/>
          <w:color w:val="333333"/>
          <w:sz w:val="30"/>
          <w:szCs w:val="30"/>
          <w:lang w:val="en-US" w:eastAsia="ru-RU"/>
        </w:rPr>
        <w:t>programme</w:t>
      </w:r>
      <w:proofErr w:type="spellEnd"/>
      <w:r w:rsidRPr="00110ADD">
        <w:rPr>
          <w:rFonts w:ascii="Times New Roman" w:hAnsi="Times New Roman" w:cs="Times New Roman"/>
          <w:color w:val="333333"/>
          <w:sz w:val="30"/>
          <w:szCs w:val="30"/>
          <w:lang w:val="en-US" w:eastAsia="ru-RU"/>
        </w:rPr>
        <w:t xml:space="preserve"> consists of a number of mandatory core courses in </w:t>
      </w:r>
      <w:r w:rsidRPr="00567DD8">
        <w:rPr>
          <w:rFonts w:ascii="Times New Roman" w:hAnsi="Times New Roman" w:cs="Times New Roman"/>
          <w:i/>
          <w:iCs/>
          <w:color w:val="333333"/>
          <w:sz w:val="30"/>
          <w:szCs w:val="30"/>
          <w:lang w:val="en-US" w:eastAsia="ru-RU"/>
        </w:rPr>
        <w:t>public policy analysis, economics, law, and methods</w:t>
      </w:r>
      <w:r w:rsidRPr="00110ADD">
        <w:rPr>
          <w:rFonts w:ascii="Times New Roman" w:hAnsi="Times New Roman" w:cs="Times New Roman"/>
          <w:color w:val="333333"/>
          <w:sz w:val="30"/>
          <w:szCs w:val="30"/>
          <w:lang w:val="en-US" w:eastAsia="ru-RU"/>
        </w:rPr>
        <w:t>. In addition to the mandatory core curriculum, students have the opportunity to develop thematic expertise by pursuing one of the optional areas of concentration.</w:t>
      </w:r>
    </w:p>
    <w:p w14:paraId="480A8864" w14:textId="77777777" w:rsidR="00110ADD" w:rsidRPr="00110ADD"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567DD8">
        <w:rPr>
          <w:rFonts w:ascii="Times New Roman" w:hAnsi="Times New Roman" w:cs="Times New Roman"/>
          <w:b/>
          <w:bCs/>
          <w:color w:val="333333"/>
          <w:sz w:val="30"/>
          <w:szCs w:val="30"/>
          <w:lang w:val="en-US" w:eastAsia="ru-RU"/>
        </w:rPr>
        <w:t>Core Modules:</w:t>
      </w:r>
    </w:p>
    <w:p w14:paraId="571F34A6"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Power Networks and political institutions in Post-Soviet States</w:t>
      </w:r>
    </w:p>
    <w:p w14:paraId="6333B9B7"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Different Norms and Realities: Post-Soviet and Western Values</w:t>
      </w:r>
    </w:p>
    <w:p w14:paraId="52689385"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The Soviet Civilization</w:t>
      </w:r>
    </w:p>
    <w:p w14:paraId="10F040B1"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Political and Social Profile of Post-Soviet Elites</w:t>
      </w:r>
    </w:p>
    <w:p w14:paraId="6BEE84F0"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Post-Soviet Political Economy</w:t>
      </w:r>
    </w:p>
    <w:p w14:paraId="386EE5B2"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International Policy in the Post-Soviet space</w:t>
      </w:r>
    </w:p>
    <w:p w14:paraId="116EB6E8"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Regional security in the Post-Soviet Space</w:t>
      </w:r>
    </w:p>
    <w:p w14:paraId="5F6BA291" w14:textId="77777777" w:rsidR="00110ADD" w:rsidRPr="00110ADD" w:rsidRDefault="00110ADD" w:rsidP="00110ADD">
      <w:pPr>
        <w:numPr>
          <w:ilvl w:val="0"/>
          <w:numId w:val="1"/>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lastRenderedPageBreak/>
        <w:t>The models of the Political Integration in the Post-Soviet Space</w:t>
      </w:r>
    </w:p>
    <w:p w14:paraId="3F488F09" w14:textId="77777777" w:rsidR="00110ADD" w:rsidRPr="00110ADD" w:rsidRDefault="00110ADD" w:rsidP="00110ADD">
      <w:pPr>
        <w:shd w:val="clear" w:color="auto" w:fill="FFFFFF"/>
        <w:spacing w:after="300" w:line="450" w:lineRule="atLeast"/>
        <w:rPr>
          <w:rFonts w:ascii="Times New Roman" w:hAnsi="Times New Roman" w:cs="Times New Roman"/>
          <w:color w:val="333333"/>
          <w:sz w:val="30"/>
          <w:szCs w:val="30"/>
          <w:lang w:val="en-US" w:eastAsia="ru-RU"/>
        </w:rPr>
      </w:pPr>
      <w:r w:rsidRPr="00567DD8">
        <w:rPr>
          <w:rFonts w:ascii="Times New Roman" w:hAnsi="Times New Roman" w:cs="Times New Roman"/>
          <w:b/>
          <w:bCs/>
          <w:color w:val="333333"/>
          <w:sz w:val="30"/>
          <w:szCs w:val="30"/>
          <w:lang w:val="en-US" w:eastAsia="ru-RU"/>
        </w:rPr>
        <w:t>Optional Modules:</w:t>
      </w:r>
    </w:p>
    <w:p w14:paraId="5DA4177F"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USSR disintegration: political and economic causes</w:t>
      </w:r>
    </w:p>
    <w:p w14:paraId="7B264B0F"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Color revolutions in the post-soviet space</w:t>
      </w:r>
    </w:p>
    <w:p w14:paraId="071A7C2F"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Neo-patrimonial democracy in Ukraine</w:t>
      </w:r>
    </w:p>
    <w:p w14:paraId="1E1AC2C3"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Belorussia: the specific model of state-building</w:t>
      </w:r>
    </w:p>
    <w:p w14:paraId="03AE6259"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Military threats in the Post-Soviet Space</w:t>
      </w:r>
    </w:p>
    <w:p w14:paraId="53FFA9F3"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Baltic States: from Soviet to European Union</w:t>
      </w:r>
    </w:p>
    <w:p w14:paraId="1227C345"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Political Islam in Post-Soviet Countries</w:t>
      </w:r>
    </w:p>
    <w:p w14:paraId="1A7AE870"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Political Regimes in Central Asia: Post-Soviet Specific</w:t>
      </w:r>
    </w:p>
    <w:p w14:paraId="7833D744"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EU “Eastern Policy”: prospects and restrictions</w:t>
      </w:r>
    </w:p>
    <w:p w14:paraId="77D64FF3"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 xml:space="preserve">Post-Soviet Space in the Context of China’s </w:t>
      </w:r>
      <w:proofErr w:type="spellStart"/>
      <w:r w:rsidRPr="00110ADD">
        <w:rPr>
          <w:rFonts w:ascii="Times New Roman" w:eastAsia="Times New Roman" w:hAnsi="Times New Roman" w:cs="Times New Roman"/>
          <w:color w:val="333333"/>
          <w:sz w:val="30"/>
          <w:szCs w:val="30"/>
          <w:lang w:val="en-US" w:eastAsia="ru-RU"/>
        </w:rPr>
        <w:t>Integrational</w:t>
      </w:r>
      <w:proofErr w:type="spellEnd"/>
      <w:r w:rsidRPr="00110ADD">
        <w:rPr>
          <w:rFonts w:ascii="Times New Roman" w:eastAsia="Times New Roman" w:hAnsi="Times New Roman" w:cs="Times New Roman"/>
          <w:color w:val="333333"/>
          <w:sz w:val="30"/>
          <w:szCs w:val="30"/>
          <w:lang w:val="en-US" w:eastAsia="ru-RU"/>
        </w:rPr>
        <w:t xml:space="preserve"> Project</w:t>
      </w:r>
    </w:p>
    <w:p w14:paraId="73C60E0B"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Eurasian Integration’s Economic Model</w:t>
      </w:r>
    </w:p>
    <w:p w14:paraId="1015A413"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Political Regimes in Caucasus Republics: Post-Soviet Specific</w:t>
      </w:r>
    </w:p>
    <w:p w14:paraId="29442BEB"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BRICS as Alternative Globalization</w:t>
      </w:r>
    </w:p>
    <w:p w14:paraId="3755A6FF"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“Frozen Conflicts” in the Post-Soviet Space</w:t>
      </w:r>
    </w:p>
    <w:p w14:paraId="6BF44932"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Post-Soviet Space in Context of Russian Foreign Policy</w:t>
      </w:r>
    </w:p>
    <w:p w14:paraId="15A8E4B9"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“Problem States” of the Post-Soviet Space</w:t>
      </w:r>
    </w:p>
    <w:p w14:paraId="0B5B53DE" w14:textId="77777777" w:rsidR="00110ADD" w:rsidRPr="00110ADD" w:rsidRDefault="00110ADD" w:rsidP="00110ADD">
      <w:pPr>
        <w:numPr>
          <w:ilvl w:val="0"/>
          <w:numId w:val="2"/>
        </w:numPr>
        <w:shd w:val="clear" w:color="auto" w:fill="FFFFFF"/>
        <w:spacing w:before="100" w:beforeAutospacing="1" w:after="75" w:line="450" w:lineRule="atLeast"/>
        <w:ind w:left="225"/>
        <w:rPr>
          <w:rFonts w:ascii="Times New Roman" w:eastAsia="Times New Roman" w:hAnsi="Times New Roman" w:cs="Times New Roman"/>
          <w:color w:val="333333"/>
          <w:sz w:val="30"/>
          <w:szCs w:val="30"/>
          <w:lang w:val="en-US" w:eastAsia="ru-RU"/>
        </w:rPr>
      </w:pPr>
      <w:r w:rsidRPr="00110ADD">
        <w:rPr>
          <w:rFonts w:ascii="Times New Roman" w:eastAsia="Times New Roman" w:hAnsi="Times New Roman" w:cs="Times New Roman"/>
          <w:color w:val="333333"/>
          <w:sz w:val="30"/>
          <w:szCs w:val="30"/>
          <w:lang w:val="en-US" w:eastAsia="ru-RU"/>
        </w:rPr>
        <w:t>State Companies as Economy and Policy Actors in the Post-Soviet Space.</w:t>
      </w:r>
    </w:p>
    <w:p w14:paraId="49AD2A23" w14:textId="77777777" w:rsidR="0029090E" w:rsidRPr="00567DD8" w:rsidRDefault="0029090E">
      <w:pPr>
        <w:rPr>
          <w:rFonts w:ascii="Times New Roman" w:hAnsi="Times New Roman" w:cs="Times New Roman"/>
          <w:lang w:val="en-US"/>
        </w:rPr>
      </w:pPr>
    </w:p>
    <w:sectPr w:rsidR="0029090E" w:rsidRPr="00567DD8" w:rsidSect="00BF13F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04442"/>
    <w:multiLevelType w:val="multilevel"/>
    <w:tmpl w:val="B20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B4C10"/>
    <w:multiLevelType w:val="multilevel"/>
    <w:tmpl w:val="AB3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DD"/>
    <w:rsid w:val="00110ADD"/>
    <w:rsid w:val="0029090E"/>
    <w:rsid w:val="00567DD8"/>
    <w:rsid w:val="00BF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EB06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ADD"/>
    <w:pPr>
      <w:spacing w:before="100" w:beforeAutospacing="1" w:after="100" w:afterAutospacing="1"/>
    </w:pPr>
    <w:rPr>
      <w:rFonts w:ascii="Times New Roman" w:hAnsi="Times New Roman" w:cs="Times New Roman"/>
      <w:lang w:eastAsia="ru-RU"/>
    </w:rPr>
  </w:style>
  <w:style w:type="character" w:styleId="a4">
    <w:name w:val="Emphasis"/>
    <w:basedOn w:val="a0"/>
    <w:uiPriority w:val="20"/>
    <w:qFormat/>
    <w:rsid w:val="00110ADD"/>
    <w:rPr>
      <w:i/>
      <w:iCs/>
    </w:rPr>
  </w:style>
  <w:style w:type="character" w:styleId="a5">
    <w:name w:val="Strong"/>
    <w:basedOn w:val="a0"/>
    <w:uiPriority w:val="22"/>
    <w:qFormat/>
    <w:rsid w:val="00110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433">
      <w:bodyDiv w:val="1"/>
      <w:marLeft w:val="0"/>
      <w:marRight w:val="0"/>
      <w:marTop w:val="0"/>
      <w:marBottom w:val="0"/>
      <w:divBdr>
        <w:top w:val="none" w:sz="0" w:space="0" w:color="auto"/>
        <w:left w:val="none" w:sz="0" w:space="0" w:color="auto"/>
        <w:bottom w:val="none" w:sz="0" w:space="0" w:color="auto"/>
        <w:right w:val="none" w:sz="0" w:space="0" w:color="auto"/>
      </w:divBdr>
    </w:div>
    <w:div w:id="403530458">
      <w:bodyDiv w:val="1"/>
      <w:marLeft w:val="0"/>
      <w:marRight w:val="0"/>
      <w:marTop w:val="0"/>
      <w:marBottom w:val="0"/>
      <w:divBdr>
        <w:top w:val="none" w:sz="0" w:space="0" w:color="auto"/>
        <w:left w:val="none" w:sz="0" w:space="0" w:color="auto"/>
        <w:bottom w:val="none" w:sz="0" w:space="0" w:color="auto"/>
        <w:right w:val="none" w:sz="0" w:space="0" w:color="auto"/>
      </w:divBdr>
    </w:div>
    <w:div w:id="670523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2119</Characters>
  <Application>Microsoft Macintosh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2018-05-11T12:57:00Z</dcterms:created>
  <dcterms:modified xsi:type="dcterms:W3CDTF">2018-05-11T13:05:00Z</dcterms:modified>
</cp:coreProperties>
</file>