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C" w:rsidRPr="00A60D63" w:rsidRDefault="00C372D6" w:rsidP="00A60D63">
      <w:pPr>
        <w:rPr>
          <w:b/>
        </w:rPr>
      </w:pPr>
      <w:r w:rsidRPr="00A60D63">
        <w:t xml:space="preserve">      </w:t>
      </w:r>
    </w:p>
    <w:p w:rsidR="007B16F8" w:rsidRPr="00A60D63" w:rsidRDefault="007B16F8" w:rsidP="00A60D63">
      <w:pPr>
        <w:ind w:firstLine="397"/>
        <w:jc w:val="center"/>
        <w:rPr>
          <w:b/>
        </w:rPr>
      </w:pPr>
      <w:r w:rsidRPr="00A60D63">
        <w:rPr>
          <w:b/>
        </w:rPr>
        <w:t>Справка</w:t>
      </w:r>
    </w:p>
    <w:p w:rsidR="008275DF" w:rsidRPr="00A60D63" w:rsidRDefault="007B16F8" w:rsidP="00A60D63">
      <w:pPr>
        <w:ind w:firstLine="397"/>
        <w:jc w:val="center"/>
      </w:pPr>
      <w:r w:rsidRPr="00A60D63"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A60D63" w:rsidRPr="00A60D63" w:rsidRDefault="00A60D63" w:rsidP="00A60D63">
      <w:pPr>
        <w:ind w:firstLine="397"/>
        <w:jc w:val="center"/>
      </w:pPr>
      <w:r w:rsidRPr="00A60D63">
        <w:t>«Российская политика»</w:t>
      </w:r>
    </w:p>
    <w:p w:rsidR="007B16F8" w:rsidRPr="00A60D63" w:rsidRDefault="008275DF" w:rsidP="00A60D63">
      <w:pPr>
        <w:ind w:firstLine="397"/>
        <w:jc w:val="center"/>
      </w:pPr>
      <w:r w:rsidRPr="00A60D63">
        <w:t xml:space="preserve">по направлению подготовки 41.04.04 «Политология» </w:t>
      </w:r>
    </w:p>
    <w:p w:rsidR="007B16F8" w:rsidRPr="00A60D63" w:rsidRDefault="007B16F8" w:rsidP="00A60D63">
      <w:pPr>
        <w:ind w:firstLine="397"/>
        <w:jc w:val="center"/>
      </w:pPr>
      <w:r w:rsidRPr="00A60D63">
        <w:t xml:space="preserve"> (</w:t>
      </w:r>
      <w:r w:rsidRPr="00A60D63">
        <w:rPr>
          <w:i/>
        </w:rPr>
        <w:t>код, наименование основной образовательной программы – направленность (профиль)</w:t>
      </w:r>
      <w:r w:rsidRPr="00A60D63">
        <w:t xml:space="preserve">) </w:t>
      </w:r>
    </w:p>
    <w:p w:rsidR="007B16F8" w:rsidRPr="00A60D63" w:rsidRDefault="007B16F8" w:rsidP="00A60D6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5222"/>
        <w:gridCol w:w="3883"/>
      </w:tblGrid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t xml:space="preserve">ФИО </w:t>
            </w:r>
          </w:p>
        </w:tc>
        <w:tc>
          <w:tcPr>
            <w:tcW w:w="3883" w:type="dxa"/>
            <w:shd w:val="clear" w:color="auto" w:fill="auto"/>
          </w:tcPr>
          <w:p w:rsidR="007B16F8" w:rsidRPr="00A60D63" w:rsidRDefault="00A62427" w:rsidP="00A60D63">
            <w:pPr>
              <w:ind w:left="360"/>
            </w:pPr>
            <w:r w:rsidRPr="00A60D63">
              <w:t>Коваленко Валерий Иванович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  <w:r w:rsidRPr="00A60D63"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3883" w:type="dxa"/>
            <w:shd w:val="clear" w:color="auto" w:fill="auto"/>
          </w:tcPr>
          <w:p w:rsidR="007B16F8" w:rsidRPr="00A60D63" w:rsidRDefault="00A62427" w:rsidP="00A60D63">
            <w:pPr>
              <w:ind w:left="360"/>
            </w:pPr>
            <w:r w:rsidRPr="00A60D63">
              <w:t>Основное место работы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  <w:r w:rsidRPr="00A60D63">
              <w:t>Реквизиты документа о назначении руководителя программы:</w:t>
            </w:r>
          </w:p>
        </w:tc>
        <w:tc>
          <w:tcPr>
            <w:tcW w:w="3883" w:type="dxa"/>
            <w:shd w:val="clear" w:color="auto" w:fill="auto"/>
          </w:tcPr>
          <w:p w:rsidR="007F4E4B" w:rsidRDefault="00A60D63" w:rsidP="00A60D63">
            <w:pPr>
              <w:ind w:left="360"/>
            </w:pPr>
            <w:r>
              <w:t xml:space="preserve">Решение Ученого совета факультета политологии </w:t>
            </w:r>
          </w:p>
          <w:p w:rsidR="007B16F8" w:rsidRPr="00A60D63" w:rsidRDefault="00A60D63" w:rsidP="00A60D63">
            <w:pPr>
              <w:ind w:left="360"/>
            </w:pPr>
            <w:r>
              <w:t>МГУ им. М.В. Ломоносова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  <w:r w:rsidRPr="00A60D63">
              <w:t>Ученая степень, ученое звание</w:t>
            </w:r>
          </w:p>
        </w:tc>
        <w:tc>
          <w:tcPr>
            <w:tcW w:w="3883" w:type="dxa"/>
            <w:shd w:val="clear" w:color="auto" w:fill="auto"/>
          </w:tcPr>
          <w:p w:rsidR="007B16F8" w:rsidRPr="00A60D63" w:rsidRDefault="00A62427" w:rsidP="00A60D63">
            <w:pPr>
              <w:ind w:left="360"/>
            </w:pPr>
            <w:r w:rsidRPr="00A60D63">
              <w:t>Доктор философских наук, профессор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  <w:r w:rsidRPr="00A60D63"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закрепление:</w:t>
            </w:r>
          </w:p>
        </w:tc>
        <w:tc>
          <w:tcPr>
            <w:tcW w:w="3883" w:type="dxa"/>
            <w:shd w:val="clear" w:color="auto" w:fill="auto"/>
          </w:tcPr>
          <w:p w:rsidR="007B16F8" w:rsidRPr="00A60D63" w:rsidRDefault="006B7AC0" w:rsidP="00A60D63">
            <w:pPr>
              <w:ind w:left="360"/>
            </w:pPr>
            <w:r w:rsidRPr="00A60D63">
              <w:t>Политическая история России, современная российская политика, федерализм, политические иде</w:t>
            </w:r>
            <w:bookmarkStart w:id="0" w:name="_GoBack"/>
            <w:bookmarkEnd w:id="0"/>
            <w:r w:rsidRPr="00A60D63">
              <w:t>ологии современности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color w:val="FF0000"/>
              </w:rPr>
            </w:pPr>
            <w:r w:rsidRPr="00A60D63">
              <w:t>Публикации в ведущих отечественных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3883" w:type="dxa"/>
            <w:shd w:val="clear" w:color="auto" w:fill="auto"/>
          </w:tcPr>
          <w:p w:rsidR="005A16DD" w:rsidRPr="00A60D63" w:rsidRDefault="005A16DD" w:rsidP="00A60D63">
            <w:pPr>
              <w:ind w:left="360"/>
            </w:pPr>
            <w:r w:rsidRPr="00A60D63">
              <w:tab/>
            </w:r>
          </w:p>
          <w:p w:rsidR="005A16DD" w:rsidRPr="00A60D63" w:rsidRDefault="005A16DD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От Февраля к Октябрю: логика и противоречия политического процесса // Столетие Революции 1917 в России. Научный сборник. Часть I / Отв. ред. И.И. Тучков. – М., Изд-во АО «РДП», 2018. </w:t>
            </w:r>
          </w:p>
          <w:p w:rsidR="005A16DD" w:rsidRPr="00A60D63" w:rsidRDefault="005A16DD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«Февральская республика» 1917 года: несостоявшиеся альтернативы // Гуманитарные науки. Вестник Финансового университета. Научно-практический журнал. – Том 8 № 1 (31), 2018. </w:t>
            </w:r>
          </w:p>
          <w:p w:rsidR="005A16DD" w:rsidRPr="00A60D63" w:rsidRDefault="005A16DD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Национальное единство: вызовы глобализирующегося мира и запросы гражданского общества // Российская политика: повестка дня в меняющемся мире: Материалы II Съезда Российского общества политологов (11– 13 ноября 2016 г., Казань) / Российское общество политологов; под общ. ред. А.Ю. Шутова, С.Г. Еремеева, В.И. Якунина, И.И. Кузнецова. М.: Издательство Московского университета, </w:t>
            </w:r>
            <w:r w:rsidRPr="00A60D63">
              <w:lastRenderedPageBreak/>
              <w:t xml:space="preserve">2018. </w:t>
            </w:r>
          </w:p>
          <w:p w:rsidR="005A16DD" w:rsidRPr="00A60D63" w:rsidRDefault="005A16DD" w:rsidP="00A60D63">
            <w:pPr>
              <w:ind w:left="360"/>
            </w:pPr>
            <w:r w:rsidRPr="00A60D63">
              <w:t xml:space="preserve"> ISBN 978-5-19-011323-5</w:t>
            </w:r>
          </w:p>
          <w:p w:rsidR="005A16DD" w:rsidRPr="00A60D63" w:rsidRDefault="005A16DD" w:rsidP="00A60D63">
            <w:pPr>
              <w:ind w:left="360"/>
            </w:pPr>
            <w:r w:rsidRPr="00A60D63">
              <w:t>•</w:t>
            </w:r>
            <w:r w:rsidRPr="00A60D63">
              <w:tab/>
              <w:t>Перспективы классических идеологий в XXI веке // Российская политика: повестка дня в меняющемся мире: Материалы II Съезда Российского общества политологов (11– 13 ноября 2016 г., Казань) / Российское общество политологов; под общ. ред. А.Ю. Шутова, С.Г. Еремеева, В.И. Якунина, И.И. Кузнецова. М.: Издательство Московского университета, 2018.  ISBN 978-5-19-011323-5</w:t>
            </w:r>
          </w:p>
          <w:p w:rsidR="007B16F8" w:rsidRPr="00A60D63" w:rsidRDefault="005A16DD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Размышляя о двух юбилеях. По поводу книги Я.А. Пляйса «Марксизм и социальные революции в России» // Обозреватель – Observer. 2018. № 10. </w:t>
            </w:r>
          </w:p>
          <w:p w:rsidR="005937F9" w:rsidRPr="00A60D63" w:rsidRDefault="005937F9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Русская революция в политической истории страны и мира // Обозреватель-Observer. Научно-аналитический журнал. 2019, № 3. </w:t>
            </w: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lang w:val="en-US"/>
              </w:rPr>
            </w:pPr>
            <w:r w:rsidRPr="00A60D63">
              <w:rPr>
                <w:lang w:val="en-US"/>
              </w:rPr>
              <w:lastRenderedPageBreak/>
              <w:t>7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color w:val="FF0000"/>
              </w:rPr>
            </w:pPr>
            <w:r w:rsidRPr="00A60D63">
              <w:t>Публикации в зарубежных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3883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</w:p>
        </w:tc>
      </w:tr>
      <w:tr w:rsidR="007B16F8" w:rsidRPr="00A60D63" w:rsidTr="00036208">
        <w:tc>
          <w:tcPr>
            <w:tcW w:w="718" w:type="dxa"/>
            <w:shd w:val="clear" w:color="auto" w:fill="auto"/>
          </w:tcPr>
          <w:p w:rsidR="007B16F8" w:rsidRPr="00A60D63" w:rsidRDefault="007B16F8" w:rsidP="00A60D63">
            <w:pPr>
              <w:ind w:left="360"/>
            </w:pPr>
            <w:r w:rsidRPr="00A60D63">
              <w:t>8</w:t>
            </w:r>
          </w:p>
        </w:tc>
        <w:tc>
          <w:tcPr>
            <w:tcW w:w="5222" w:type="dxa"/>
            <w:shd w:val="clear" w:color="auto" w:fill="auto"/>
          </w:tcPr>
          <w:p w:rsidR="007B16F8" w:rsidRPr="00A60D63" w:rsidRDefault="007B16F8" w:rsidP="00A60D63">
            <w:pPr>
              <w:ind w:left="360"/>
              <w:rPr>
                <w:color w:val="FF0000"/>
              </w:rPr>
            </w:pPr>
            <w:r w:rsidRPr="00A60D63"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в 2018, 2019 годах (название, статус конференций, материалы конференций, год выпуска)</w:t>
            </w:r>
          </w:p>
        </w:tc>
        <w:tc>
          <w:tcPr>
            <w:tcW w:w="3883" w:type="dxa"/>
            <w:shd w:val="clear" w:color="auto" w:fill="auto"/>
          </w:tcPr>
          <w:p w:rsidR="00992A50" w:rsidRPr="00A60D63" w:rsidRDefault="00992A50" w:rsidP="00A60D63">
            <w:pPr>
              <w:ind w:left="360"/>
            </w:pP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27 января (ТВ, канал «Культура»). Круглый стол «Власть факта. Реформаторы под надзором: земство». Эфир: 27 января, 11.40-12.20.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Москва, 01 февраля (РУДН). Первый профессорский форум Общероссийской общественной организации «Российское профессорское собрание». Пленарный доклад «Роль гуманитарной составляющей в высшей школе России». 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Волгоград, 21 февраля (Экспертный институт социальных исследований, Российское общество политологов, Администрация Волгоградской области). Общественно-экспертный </w:t>
            </w:r>
            <w:r w:rsidRPr="00A60D63">
              <w:lastRenderedPageBreak/>
              <w:t>семинар «Будущее России: историческая память в формировании гражданской идентичности». Пленарный доклад «Духовные ценности в исторической памяти и историческом развитии страны и народа».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Астана (Казахстан), 28 февраля (Назарбаев Центр). Международная конференция «Казахстан – Россия: союзничество, устремленное в будущее». Пленарный доклад «Роль Большой Евразии в современных международных отношениях: идейно-политические измерения».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Екатеринбург, 14 марта (Экспертный институт социальных исследований, Российское общество политологов, Уральский федеральный университет имени первого Президента России Б.Н. Ельцина). Общественно-экспертный семинар «Будущее России: роль науки в технологическом прорыве». Пленарный доклад «Проблемные зоны инновационной политики России».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11 апреля (МГУ имени М.В.Ломоносова). Всероссийская научная конференция «Этнополитика в современной России: актуальные проблемы и решения». Пленарный доклад «Этнополитология как предмет и как учебная дисциплина».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11 апреля (МГУ имени М.В.Ломоносова). Москва, 20 апреля (МГУ имени М.В. Ломоносова). XXIV Международная научная конференция студентов, аспирантов и молодых ученых «Ломоносов – 20178». Член оргкомитета, руководитель секции.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Москва, апреля (МГУ имени М.В.Ломоносова). </w:t>
            </w:r>
            <w:r w:rsidRPr="00A60D63">
              <w:lastRenderedPageBreak/>
              <w:t>Ломоносовские чтения. Выступление на круглом столе «Концепт «умный город» как инструмент реализации региональной политики: возможности и барьеры».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Калининград, 27 апреля (Экспертный институт социальных исследований, Российское общество политологов, Балтийский федеральный университет имени Иммануила Канта). Общественно-экспертный семинар (с международным участием) «Войны памяти» как инструмент пересмотра современного миропорядка: новейшие вызовы истории Второй мировой войны». Пленарный доклад «Историческая память и историческая ответственность: уроки Второй мировой войны».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17-19 мая (Московский государственный университет имени М.В. Ломоносова). Международный научный форум «Маркс – XXI. 200-летию Карла Маркса посвящается». Член программного комитета. Соруководитель секции «К. Маркс и современные политические теории». Доклад «Карл Маркс о науке как производительной силе общества: политологический анализ».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Москва, 10-12 сентября (Московский государственный университет имени М.В. Ломоносова). III съезд Российского общества политологов «Политическое образование в современной России и в мире». Член Программного комитета, руководитель секции «Российская политическая наука в системе высшего образования: проблемы и перспективы», доклад «Проблемные зоны в </w:t>
            </w:r>
            <w:r w:rsidRPr="00A60D63">
              <w:lastRenderedPageBreak/>
              <w:t>преподавании политологии в вузах России».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Шанхай, КНР (Восточно-Китайский университет политики и права), 22-24 сентября. Международная научная конференция «Реформы, развитие, вызовы: реформы, открытость и международное коммунистическое движение». Пленарный доклад « Перестройка в политической истории СССР и России».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Пхеньян, КНДР (Университет имени Ким Ир Сена), 25-27 сентября. Международная научная конференция «развитие науки на благо человека». Пленарный доклад «Роль науки в развитии общества: наследие К. Маркса и современность».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Родос (Греция), 5-6 октября. Участие в работе 16-го Родосского форума «Диалог цивилизаций» «Making Multilaterism Work: enhancing Dialoge on Peace, Security and Development». Дискутант.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19 октября (Общественная палата Российской Федерации). Круглый стол «Общероссийское единство: риски, вызовы и задачи Общественной палаты Российской Федерации. Выступление с докладом «Роль отечественных традиций в утверждении национального согласия в стране».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>Москва, 29 октября (Общественная палата Российской Федерации). Круглый стол «Смысл и задачи исторической политики». Выступление с докладом «Историческая память как категория политической науки».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Москва, 29 октября (Государственная Дума Российской Федерации). </w:t>
            </w:r>
            <w:r w:rsidRPr="00A60D63">
              <w:lastRenderedPageBreak/>
              <w:t>Парламентские слушания «Языковое многообразие Российской Федерации: состояние и перспективы». Участник дискуссии.</w:t>
            </w:r>
          </w:p>
          <w:p w:rsidR="00992A50" w:rsidRPr="00A60D63" w:rsidRDefault="00992A50" w:rsidP="00A60D63">
            <w:pPr>
              <w:ind w:left="360"/>
            </w:pPr>
            <w:r w:rsidRPr="00A60D63">
              <w:t>- Ярославль (Общественная палата Ярославской области, Ярославский государственный университет имени П.Г. Демидова) , 12 декабря.  Круглый стол, посвященный 25-летию Конституции Российской Федерации. Доклад «Гражданственность как основа устойчивого развития российского общества».</w:t>
            </w:r>
          </w:p>
          <w:p w:rsidR="007B16F8" w:rsidRPr="00A60D63" w:rsidRDefault="00992A50" w:rsidP="00A60D63">
            <w:pPr>
              <w:ind w:left="360"/>
            </w:pPr>
            <w:r w:rsidRPr="00A60D63">
              <w:t xml:space="preserve">- Москва (Независимая федерация профсоюзов России), 17 декабря. Научно-практический семинар «Проблемы и перспективы интеграционных процессов в СНГ и задачи профсоюзов». Пленарный доклад «Интеграционный потенциал транспортной политики».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</w:r>
            <w:r w:rsidRPr="00A60D63">
              <w:tab/>
              <w:t xml:space="preserve">Москва (МГУ имени М.В. Ломоносова), 27 февраля. Научно-практический круглый стол «Парламентаризм и представительство групп интересов в России: история и современность (к 470-летию начала созыва Земских соборов)». Пленарный доклад «Парламентаризм в системе современных политических вызовов».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 (МГУ имени М.В. Ломоносова), 25 марта 2019. Участие в работе Международного форума» Университеты, общество и будущее человечества». Участник.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Москва (Общероссийское движение Поддержки Флота), 29 марта. Пленарный доклад «Традиции русского флота в утверждении гражданственности в современном российском обществе» на круглом столе, посвященном Двадцатилетию </w:t>
            </w:r>
            <w:r w:rsidRPr="00A60D63">
              <w:lastRenderedPageBreak/>
              <w:t xml:space="preserve">Морской Всероссийской Конференции – 30 марта 1999 года, - положившей начало формированию на системном уровне Национальной морской политики России. 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</w:r>
            <w:r w:rsidRPr="00A60D63">
              <w:tab/>
              <w:t xml:space="preserve">Москва (МГУ имени М.В. Ломоносова), 12 апреля. XXV Международная научная конференция студентов, аспирантов и молодых ученых «Ломоносов – 2019». Член оргкомитета, руководитель секции.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  <w:t>Москва (РФФИ), 15 апреля. Экспертный семинар «Актуальные проблемы социально-политического развития».  Дискутант.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</w:r>
            <w:r w:rsidRPr="00A60D63">
              <w:tab/>
              <w:t xml:space="preserve">Москва (МГУ имени М.В. Ломоносова), 18 апреля. Ломоносовские чтения – 2019. Доклад «Социальная политика как фактор развертывания человеческого потенциала». </w:t>
            </w:r>
          </w:p>
          <w:p w:rsidR="00906E2A" w:rsidRPr="00A60D63" w:rsidRDefault="00906E2A" w:rsidP="00A60D63">
            <w:pPr>
              <w:ind w:left="360"/>
            </w:pPr>
            <w:r w:rsidRPr="00A60D63">
              <w:t>•</w:t>
            </w:r>
            <w:r w:rsidRPr="00A60D63">
              <w:tab/>
              <w:t xml:space="preserve">Севастополь (Севастопольский государственный университет), 25-26 апреля. Пленарный доклад «Федор Федорович Ушаков: взгляд политолога» на  IY  Международной конференции «Потемкинские чтения». </w:t>
            </w:r>
          </w:p>
        </w:tc>
      </w:tr>
    </w:tbl>
    <w:p w:rsidR="007B16F8" w:rsidRPr="00A60D63" w:rsidRDefault="007B16F8" w:rsidP="00A60D63">
      <w:pPr>
        <w:ind w:right="-540"/>
      </w:pPr>
    </w:p>
    <w:p w:rsidR="007B16F8" w:rsidRPr="00A60D63" w:rsidRDefault="007B16F8" w:rsidP="00A60D63">
      <w:pPr>
        <w:ind w:right="-540"/>
      </w:pPr>
    </w:p>
    <w:sectPr w:rsidR="007B16F8" w:rsidRPr="00A60D63" w:rsidSect="0033147B">
      <w:headerReference w:type="even" r:id="rId7"/>
      <w:headerReference w:type="default" r:id="rId8"/>
      <w:pgSz w:w="11906" w:h="16838"/>
      <w:pgMar w:top="719" w:right="128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E7" w:rsidRDefault="000F53E7">
      <w:r>
        <w:separator/>
      </w:r>
    </w:p>
  </w:endnote>
  <w:endnote w:type="continuationSeparator" w:id="0">
    <w:p w:rsidR="000F53E7" w:rsidRDefault="000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E7" w:rsidRDefault="000F53E7">
      <w:r>
        <w:separator/>
      </w:r>
    </w:p>
  </w:footnote>
  <w:footnote w:type="continuationSeparator" w:id="0">
    <w:p w:rsidR="000F53E7" w:rsidRDefault="000F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D6" w:rsidRDefault="00F322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7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2D6" w:rsidRDefault="00C372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D6" w:rsidRDefault="00F322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72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E4B">
      <w:rPr>
        <w:rStyle w:val="aa"/>
        <w:noProof/>
      </w:rPr>
      <w:t>7</w:t>
    </w:r>
    <w:r>
      <w:rPr>
        <w:rStyle w:val="aa"/>
      </w:rPr>
      <w:fldChar w:fldCharType="end"/>
    </w:r>
  </w:p>
  <w:p w:rsidR="00C372D6" w:rsidRDefault="00C372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335"/>
    <w:multiLevelType w:val="hybridMultilevel"/>
    <w:tmpl w:val="B4B6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306"/>
    <w:multiLevelType w:val="hybridMultilevel"/>
    <w:tmpl w:val="9A6A41EA"/>
    <w:lvl w:ilvl="0" w:tplc="CA269F4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4B7C2C"/>
    <w:multiLevelType w:val="hybridMultilevel"/>
    <w:tmpl w:val="B10EEEBC"/>
    <w:lvl w:ilvl="0" w:tplc="EDDA86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73"/>
    <w:rsid w:val="00036208"/>
    <w:rsid w:val="0009086C"/>
    <w:rsid w:val="0009136D"/>
    <w:rsid w:val="000A7C19"/>
    <w:rsid w:val="000B553C"/>
    <w:rsid w:val="000C6EC7"/>
    <w:rsid w:val="000F53E7"/>
    <w:rsid w:val="00126102"/>
    <w:rsid w:val="001466FA"/>
    <w:rsid w:val="00160E95"/>
    <w:rsid w:val="001614C6"/>
    <w:rsid w:val="00180C1D"/>
    <w:rsid w:val="001813AF"/>
    <w:rsid w:val="001C343C"/>
    <w:rsid w:val="001D086A"/>
    <w:rsid w:val="001E2D6F"/>
    <w:rsid w:val="002234F1"/>
    <w:rsid w:val="00275969"/>
    <w:rsid w:val="002A2BC0"/>
    <w:rsid w:val="0033147B"/>
    <w:rsid w:val="003726C0"/>
    <w:rsid w:val="00373CFF"/>
    <w:rsid w:val="003A5D5F"/>
    <w:rsid w:val="003C222D"/>
    <w:rsid w:val="003D7762"/>
    <w:rsid w:val="003E7C7A"/>
    <w:rsid w:val="004075A8"/>
    <w:rsid w:val="00422382"/>
    <w:rsid w:val="00427A1B"/>
    <w:rsid w:val="0043500E"/>
    <w:rsid w:val="00473BF5"/>
    <w:rsid w:val="00484291"/>
    <w:rsid w:val="004863BC"/>
    <w:rsid w:val="004F1040"/>
    <w:rsid w:val="005458D7"/>
    <w:rsid w:val="00567A5A"/>
    <w:rsid w:val="0058592D"/>
    <w:rsid w:val="005937F9"/>
    <w:rsid w:val="005967FD"/>
    <w:rsid w:val="005A16DD"/>
    <w:rsid w:val="005D4AE6"/>
    <w:rsid w:val="005D7F0B"/>
    <w:rsid w:val="005E36AC"/>
    <w:rsid w:val="00604673"/>
    <w:rsid w:val="00604C71"/>
    <w:rsid w:val="00664F00"/>
    <w:rsid w:val="00665C32"/>
    <w:rsid w:val="00671FDF"/>
    <w:rsid w:val="0067750D"/>
    <w:rsid w:val="006A5B1A"/>
    <w:rsid w:val="006B7AC0"/>
    <w:rsid w:val="006E699A"/>
    <w:rsid w:val="006F2EA3"/>
    <w:rsid w:val="006F5107"/>
    <w:rsid w:val="00713C10"/>
    <w:rsid w:val="00782538"/>
    <w:rsid w:val="007A48D6"/>
    <w:rsid w:val="007B16F8"/>
    <w:rsid w:val="007F4E4B"/>
    <w:rsid w:val="008126BA"/>
    <w:rsid w:val="008275DF"/>
    <w:rsid w:val="00832196"/>
    <w:rsid w:val="00847E66"/>
    <w:rsid w:val="00867851"/>
    <w:rsid w:val="00870568"/>
    <w:rsid w:val="008A7279"/>
    <w:rsid w:val="00906E2A"/>
    <w:rsid w:val="00907701"/>
    <w:rsid w:val="00931782"/>
    <w:rsid w:val="00957DD4"/>
    <w:rsid w:val="00960940"/>
    <w:rsid w:val="00992A50"/>
    <w:rsid w:val="009F3E15"/>
    <w:rsid w:val="00A16B8D"/>
    <w:rsid w:val="00A4670D"/>
    <w:rsid w:val="00A60D63"/>
    <w:rsid w:val="00A62427"/>
    <w:rsid w:val="00A90AC1"/>
    <w:rsid w:val="00A93592"/>
    <w:rsid w:val="00AC62E6"/>
    <w:rsid w:val="00AD54AC"/>
    <w:rsid w:val="00AF34B2"/>
    <w:rsid w:val="00B23A43"/>
    <w:rsid w:val="00B23B66"/>
    <w:rsid w:val="00B96337"/>
    <w:rsid w:val="00BC5902"/>
    <w:rsid w:val="00BE2203"/>
    <w:rsid w:val="00BE26ED"/>
    <w:rsid w:val="00C0174C"/>
    <w:rsid w:val="00C372D6"/>
    <w:rsid w:val="00C373BA"/>
    <w:rsid w:val="00C879C6"/>
    <w:rsid w:val="00CA0618"/>
    <w:rsid w:val="00CB5185"/>
    <w:rsid w:val="00CC3EC8"/>
    <w:rsid w:val="00CE6E40"/>
    <w:rsid w:val="00D063DF"/>
    <w:rsid w:val="00D81F5A"/>
    <w:rsid w:val="00DA5379"/>
    <w:rsid w:val="00DE1160"/>
    <w:rsid w:val="00DF6D31"/>
    <w:rsid w:val="00E13478"/>
    <w:rsid w:val="00E34F7B"/>
    <w:rsid w:val="00E44F73"/>
    <w:rsid w:val="00EE7A5C"/>
    <w:rsid w:val="00EF340B"/>
    <w:rsid w:val="00F10B83"/>
    <w:rsid w:val="00F322F9"/>
    <w:rsid w:val="00F53A01"/>
    <w:rsid w:val="00F826C1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6A"/>
    <w:rPr>
      <w:sz w:val="24"/>
      <w:szCs w:val="24"/>
    </w:rPr>
  </w:style>
  <w:style w:type="paragraph" w:styleId="1">
    <w:name w:val="heading 1"/>
    <w:basedOn w:val="a"/>
    <w:next w:val="a"/>
    <w:qFormat/>
    <w:rsid w:val="001D086A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086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1D086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086A"/>
    <w:pPr>
      <w:keepNext/>
      <w:spacing w:line="360" w:lineRule="auto"/>
      <w:ind w:left="612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086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086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rsid w:val="001D086A"/>
    <w:pPr>
      <w:keepNext/>
      <w:jc w:val="right"/>
    </w:pPr>
  </w:style>
  <w:style w:type="paragraph" w:styleId="a4">
    <w:name w:val="caption"/>
    <w:basedOn w:val="a"/>
    <w:next w:val="a"/>
    <w:qFormat/>
    <w:rsid w:val="001D086A"/>
    <w:rPr>
      <w:b/>
      <w:bCs/>
    </w:rPr>
  </w:style>
  <w:style w:type="character" w:styleId="a5">
    <w:name w:val="Hyperlink"/>
    <w:rsid w:val="001D086A"/>
    <w:rPr>
      <w:color w:val="0000FF"/>
      <w:u w:val="single"/>
    </w:rPr>
  </w:style>
  <w:style w:type="paragraph" w:styleId="a6">
    <w:name w:val="Body Text Indent"/>
    <w:basedOn w:val="a"/>
    <w:rsid w:val="001D086A"/>
    <w:pPr>
      <w:spacing w:line="360" w:lineRule="auto"/>
      <w:ind w:firstLine="720"/>
    </w:pPr>
  </w:style>
  <w:style w:type="paragraph" w:styleId="a7">
    <w:name w:val="Body Text"/>
    <w:basedOn w:val="a"/>
    <w:rsid w:val="001D086A"/>
    <w:pPr>
      <w:jc w:val="center"/>
    </w:pPr>
    <w:rPr>
      <w:b/>
      <w:bCs/>
      <w:sz w:val="26"/>
    </w:rPr>
  </w:style>
  <w:style w:type="paragraph" w:styleId="20">
    <w:name w:val="Body Text Indent 2"/>
    <w:basedOn w:val="a"/>
    <w:rsid w:val="001D086A"/>
    <w:pPr>
      <w:ind w:firstLine="720"/>
      <w:jc w:val="both"/>
    </w:pPr>
    <w:rPr>
      <w:sz w:val="26"/>
    </w:rPr>
  </w:style>
  <w:style w:type="character" w:styleId="a8">
    <w:name w:val="FollowedHyperlink"/>
    <w:rsid w:val="001D086A"/>
    <w:rPr>
      <w:color w:val="800080"/>
      <w:u w:val="single"/>
    </w:rPr>
  </w:style>
  <w:style w:type="paragraph" w:styleId="a9">
    <w:name w:val="header"/>
    <w:basedOn w:val="a"/>
    <w:rsid w:val="001D086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86A"/>
  </w:style>
  <w:style w:type="paragraph" w:styleId="ab">
    <w:name w:val="footer"/>
    <w:basedOn w:val="a"/>
    <w:rsid w:val="001D086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unhideWhenUsed/>
    <w:rsid w:val="001D0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ac">
    <w:name w:val="Знак Знак"/>
    <w:rsid w:val="001D086A"/>
    <w:rPr>
      <w:rFonts w:ascii="Courier New" w:hAnsi="Courier New" w:cs="Courier New"/>
      <w:color w:val="333366"/>
    </w:rPr>
  </w:style>
  <w:style w:type="paragraph" w:styleId="ad">
    <w:name w:val="Balloon Text"/>
    <w:basedOn w:val="a"/>
    <w:semiHidden/>
    <w:rsid w:val="001D086A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1D08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rsid w:val="001D086A"/>
    <w:pPr>
      <w:ind w:left="607" w:hanging="180"/>
      <w:jc w:val="right"/>
    </w:pPr>
    <w:rPr>
      <w:sz w:val="26"/>
      <w:szCs w:val="26"/>
    </w:rPr>
  </w:style>
  <w:style w:type="paragraph" w:styleId="af">
    <w:name w:val="Plain Text"/>
    <w:basedOn w:val="a"/>
    <w:rsid w:val="001D086A"/>
    <w:rPr>
      <w:rFonts w:ascii="Courier New" w:hAnsi="Courier New"/>
      <w:sz w:val="20"/>
      <w:szCs w:val="20"/>
    </w:rPr>
  </w:style>
  <w:style w:type="character" w:customStyle="1" w:styleId="FontStyle12">
    <w:name w:val="Font Style12"/>
    <w:uiPriority w:val="99"/>
    <w:rsid w:val="006E699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E7C7A"/>
  </w:style>
  <w:style w:type="paragraph" w:styleId="af0">
    <w:name w:val="Normal (Web)"/>
    <w:basedOn w:val="a"/>
    <w:uiPriority w:val="99"/>
    <w:unhideWhenUsed/>
    <w:rsid w:val="003E7C7A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a0"/>
    <w:rsid w:val="00DF6D31"/>
  </w:style>
  <w:style w:type="table" w:styleId="af1">
    <w:name w:val="Table Grid"/>
    <w:basedOn w:val="a1"/>
    <w:rsid w:val="007B16F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61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auto"/>
      <w:ind w:firstLine="720"/>
    </w:pPr>
  </w:style>
  <w:style w:type="paragraph" w:styleId="a7">
    <w:name w:val="Body Text"/>
    <w:basedOn w:val="a"/>
    <w:pPr>
      <w:jc w:val="center"/>
    </w:pPr>
    <w:rPr>
      <w:b/>
      <w:bCs/>
      <w:sz w:val="26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ac">
    <w:name w:val="Знак Знак"/>
    <w:rPr>
      <w:rFonts w:ascii="Courier New" w:hAnsi="Courier New" w:cs="Courier New"/>
      <w:color w:val="333366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pPr>
      <w:ind w:left="607" w:hanging="180"/>
      <w:jc w:val="right"/>
    </w:pPr>
    <w:rPr>
      <w:sz w:val="26"/>
      <w:szCs w:val="26"/>
    </w:r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character" w:customStyle="1" w:styleId="FontStyle12">
    <w:name w:val="Font Style12"/>
    <w:uiPriority w:val="99"/>
    <w:rsid w:val="006E699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E7C7A"/>
  </w:style>
  <w:style w:type="paragraph" w:styleId="af0">
    <w:name w:val="Normal (Web)"/>
    <w:basedOn w:val="a"/>
    <w:uiPriority w:val="99"/>
    <w:unhideWhenUsed/>
    <w:rsid w:val="003E7C7A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a0"/>
    <w:rsid w:val="00DF6D31"/>
  </w:style>
  <w:style w:type="table" w:styleId="af1">
    <w:name w:val="Table Grid"/>
    <w:basedOn w:val="a1"/>
    <w:rsid w:val="007B16F8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9420</CharactersWithSpaces>
  <SharedDoc>false</SharedDoc>
  <HLinks>
    <vt:vector size="24" baseType="variant"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mailto:oop_edu@rector.msu.ru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mailto:oop_edu@rector.msu.ru</vt:lpwstr>
      </vt:variant>
      <vt:variant>
        <vt:lpwstr/>
      </vt:variant>
      <vt:variant>
        <vt:i4>655463</vt:i4>
      </vt:variant>
      <vt:variant>
        <vt:i4>3</vt:i4>
      </vt:variant>
      <vt:variant>
        <vt:i4>0</vt:i4>
      </vt:variant>
      <vt:variant>
        <vt:i4>5</vt:i4>
      </vt:variant>
      <vt:variant>
        <vt:lpwstr>mailto:edu@rector.msu.ru</vt:lpwstr>
      </vt:variant>
      <vt:variant>
        <vt:lpwstr/>
      </vt:variant>
      <vt:variant>
        <vt:i4>68682798</vt:i4>
      </vt:variant>
      <vt:variant>
        <vt:i4>2336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ZamPoUchRab</cp:lastModifiedBy>
  <cp:revision>4</cp:revision>
  <cp:lastPrinted>2019-06-27T13:17:00Z</cp:lastPrinted>
  <dcterms:created xsi:type="dcterms:W3CDTF">2019-06-27T13:21:00Z</dcterms:created>
  <dcterms:modified xsi:type="dcterms:W3CDTF">2019-06-28T10:56:00Z</dcterms:modified>
</cp:coreProperties>
</file>