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76" w:rsidRPr="0014281A" w:rsidRDefault="00A71176" w:rsidP="00A711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A71176" w:rsidRPr="0014281A" w:rsidRDefault="00A71176" w:rsidP="00A711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политика и управление</w:t>
            </w: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A71176" w:rsidRPr="006026CC" w:rsidRDefault="00A71176" w:rsidP="00CF1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6CC">
              <w:rPr>
                <w:rFonts w:ascii="Times New Roman" w:hAnsi="Times New Roman"/>
                <w:sz w:val="24"/>
                <w:szCs w:val="24"/>
              </w:rPr>
              <w:t xml:space="preserve">Данная дисциплина раскрывает морфологические, структурные и процессуальные основания разработки и реализации государственной политики, рассматриваемой в качестве  особой разновидности управленческой деятельности властей, основанной на кооперации органов государственной власти, бизнеса и разнообразных гражданских и международных структур, осуществляемых в условиях глобализации современного мира. В данном контексте изучаются основные теоретико-концептуальные подходы </w:t>
            </w:r>
            <w:proofErr w:type="gramStart"/>
            <w:r w:rsidRPr="006026C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026CC">
              <w:rPr>
                <w:rFonts w:ascii="Times New Roman" w:hAnsi="Times New Roman"/>
                <w:sz w:val="24"/>
                <w:szCs w:val="24"/>
              </w:rPr>
              <w:t xml:space="preserve"> трактовки государственной политики, процессы принятия государственных решений. Характеризуются базовые особенности государства как субъекта принятия решений, описываются основные политико-административные механизмы </w:t>
            </w:r>
            <w:proofErr w:type="spellStart"/>
            <w:r w:rsidRPr="006026CC">
              <w:rPr>
                <w:rFonts w:ascii="Times New Roman" w:hAnsi="Times New Roman"/>
                <w:sz w:val="24"/>
                <w:szCs w:val="24"/>
              </w:rPr>
              <w:t>целеполагания</w:t>
            </w:r>
            <w:proofErr w:type="spellEnd"/>
            <w:r w:rsidRPr="006026CC">
              <w:rPr>
                <w:rFonts w:ascii="Times New Roman" w:hAnsi="Times New Roman"/>
                <w:sz w:val="24"/>
                <w:szCs w:val="24"/>
              </w:rPr>
              <w:t xml:space="preserve">; обозначаются условия и возможности координации управленческих </w:t>
            </w:r>
            <w:proofErr w:type="gramStart"/>
            <w:r w:rsidRPr="006026CC">
              <w:rPr>
                <w:rFonts w:ascii="Times New Roman" w:hAnsi="Times New Roman"/>
                <w:sz w:val="24"/>
                <w:szCs w:val="24"/>
              </w:rPr>
              <w:t>действий</w:t>
            </w:r>
            <w:proofErr w:type="gramEnd"/>
            <w:r w:rsidRPr="006026CC">
              <w:rPr>
                <w:rFonts w:ascii="Times New Roman" w:hAnsi="Times New Roman"/>
                <w:sz w:val="24"/>
                <w:szCs w:val="24"/>
              </w:rPr>
              <w:t xml:space="preserve"> административных и гражданских, национальных и международных, публичных и латентных </w:t>
            </w:r>
            <w:proofErr w:type="spellStart"/>
            <w:r w:rsidRPr="006026CC">
              <w:rPr>
                <w:rFonts w:ascii="Times New Roman" w:hAnsi="Times New Roman"/>
                <w:sz w:val="24"/>
                <w:szCs w:val="24"/>
              </w:rPr>
              <w:t>акторов</w:t>
            </w:r>
            <w:proofErr w:type="spellEnd"/>
            <w:r w:rsidRPr="006026CC">
              <w:rPr>
                <w:rFonts w:ascii="Times New Roman" w:hAnsi="Times New Roman"/>
                <w:sz w:val="24"/>
                <w:szCs w:val="24"/>
              </w:rPr>
              <w:t>; освещаются связи иерархических, сетевых и рыночных структур, обеспечивающих разработку коллективных решений стратегического и тактического характера. Особое внимание уделяется характеристике основных технологических звеньев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принятия решений</w:t>
            </w:r>
            <w:r w:rsidRPr="006026CC">
              <w:rPr>
                <w:rFonts w:ascii="Times New Roman" w:hAnsi="Times New Roman"/>
                <w:sz w:val="24"/>
                <w:szCs w:val="24"/>
              </w:rPr>
              <w:t xml:space="preserve">, обеспечивающих разработку договорных и гипотетических целей, системных представлений о будущем, лежащих в основании разработки государственных программ и проектов.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Определяются основные модели управления рисками, технологии предупреждения и страхования венчурных процессов. </w:t>
            </w:r>
            <w:r w:rsidRPr="006026CC">
              <w:rPr>
                <w:rFonts w:ascii="Times New Roman" w:hAnsi="Times New Roman"/>
                <w:sz w:val="24"/>
                <w:szCs w:val="24"/>
              </w:rPr>
              <w:t xml:space="preserve">В рамках этих деловых коммуникаций освещается роль субъективных факторов, ценностей и идей, влияющих на цели государственной политики. Обозначаются обобщающие факторы, обусловливающие выдвижение и реализацию инновационных программ и </w:t>
            </w:r>
            <w:proofErr w:type="gramStart"/>
            <w:r w:rsidRPr="006026CC">
              <w:rPr>
                <w:rFonts w:ascii="Times New Roman" w:hAnsi="Times New Roman"/>
                <w:sz w:val="24"/>
                <w:szCs w:val="24"/>
              </w:rPr>
              <w:t>проектов</w:t>
            </w:r>
            <w:proofErr w:type="gramEnd"/>
            <w:r w:rsidRPr="006026CC">
              <w:rPr>
                <w:rFonts w:ascii="Times New Roman" w:hAnsi="Times New Roman"/>
                <w:sz w:val="24"/>
                <w:szCs w:val="24"/>
              </w:rPr>
              <w:t xml:space="preserve">  отвечающих интересам граждан.</w:t>
            </w: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6945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(УК, ОПК, ПК)</w:t>
            </w:r>
          </w:p>
        </w:tc>
        <w:tc>
          <w:tcPr>
            <w:tcW w:w="6945" w:type="dxa"/>
            <w:shd w:val="clear" w:color="auto" w:fill="auto"/>
          </w:tcPr>
          <w:p w:rsidR="00A71176" w:rsidRPr="00655112" w:rsidRDefault="00A71176" w:rsidP="00CF1CDA">
            <w:pPr>
              <w:tabs>
                <w:tab w:val="left" w:pos="645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Общепрофессиональные</w:t>
            </w:r>
            <w:proofErr w:type="spellEnd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компетенции: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способен</w:t>
            </w:r>
            <w:proofErr w:type="gramEnd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 xml:space="preserve"> давать оценку политическим событиям и процессам, выявляя их связи с экономическими, социальными и культурными процессами на глобальном, </w:t>
            </w:r>
            <w:proofErr w:type="spellStart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макрорегиональном</w:t>
            </w:r>
            <w:proofErr w:type="spellEnd"/>
            <w:r w:rsidRPr="00655112">
              <w:rPr>
                <w:rFonts w:ascii="Times New Roman" w:hAnsi="Times New Roman"/>
                <w:bCs/>
                <w:sz w:val="24"/>
                <w:szCs w:val="24"/>
              </w:rPr>
              <w:t>, национально-государственном, региональном и локальном уровнях (ОПК-4);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способен использовать фундаментальные и современные научные теории и методы, в том </w:t>
            </w:r>
            <w:proofErr w:type="gramStart"/>
            <w:r w:rsidRPr="00655112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55112">
              <w:rPr>
                <w:rFonts w:ascii="Times New Roman" w:hAnsi="Times New Roman"/>
                <w:sz w:val="24"/>
                <w:szCs w:val="24"/>
              </w:rPr>
              <w:t xml:space="preserve"> в междисциплинарных областях, в научно-исследовательской работе в соответствии с видом деятельности (ОПК-5);</w:t>
            </w:r>
          </w:p>
          <w:p w:rsidR="00A71176" w:rsidRPr="00655112" w:rsidRDefault="00A71176" w:rsidP="00CF1CDA">
            <w:pPr>
              <w:tabs>
                <w:tab w:val="left" w:pos="645"/>
              </w:tabs>
              <w:suppressAutoHyphens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6551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использовать системные знания основных отраслевых направлений политической науки при реализации научно-исследовательской работы (ПК- 3);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655112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655112">
              <w:rPr>
                <w:rFonts w:ascii="Times New Roman" w:hAnsi="Times New Roman"/>
                <w:sz w:val="24"/>
                <w:szCs w:val="24"/>
              </w:rPr>
              <w:t xml:space="preserve"> выстраивать эффективную коммуникацию в ходе выполнения тактических задач в системе реализации государственной политики (политического управления) (ПК-9);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разрабатывать стандартные информационные и информационно-аналитические материалы, включающие политологические диагностические и прогностические выводы практического характера (ПК- 11).</w:t>
            </w:r>
          </w:p>
          <w:p w:rsidR="00A71176" w:rsidRPr="00655112" w:rsidRDefault="00A71176" w:rsidP="00CF1C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112">
              <w:rPr>
                <w:rFonts w:ascii="Times New Roman" w:hAnsi="Times New Roman"/>
                <w:sz w:val="24"/>
                <w:szCs w:val="24"/>
              </w:rPr>
              <w:t>- способен участвовать в определении темы политологического (политического) проекта, его целей и задач, разработке плана реализации проекта (ПК-17).</w:t>
            </w:r>
          </w:p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Основные параметры и отличия политики и управления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Основные теоретические трактовки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Основные теоретические интерпретации процесса принятия государственных и политических решений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Модели государственной политики в рамках «рассеянного правления»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Особенности формирования государственной политики в переходных политических системах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Особенности формирования антикризисной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 xml:space="preserve">Отличия государства как общегражданского </w:t>
            </w:r>
            <w:proofErr w:type="spellStart"/>
            <w:r>
              <w:t>актора</w:t>
            </w:r>
            <w:proofErr w:type="spellEnd"/>
            <w:r>
              <w:t xml:space="preserve"> и политического института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Специфика государства как социального пространства формирования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Специфика государства как субъекта политического проектирования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Преимущества и недостатки модели формирования государственной политики «сверху вниз»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Недостатки и преимущества модели формирования государственной политики «снизу вверх»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 xml:space="preserve">Политико-административные сети как </w:t>
            </w:r>
            <w:proofErr w:type="spellStart"/>
            <w:r>
              <w:t>акторы</w:t>
            </w:r>
            <w:proofErr w:type="spellEnd"/>
            <w:r>
              <w:t xml:space="preserve"> формирования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Соотношение публичных институтов и латентных коалиций при формировании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Позиционирование общественной и правительственной повесток при формировании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Соотношение «объективных» и договорных целей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lastRenderedPageBreak/>
              <w:t xml:space="preserve">Публичный </w:t>
            </w:r>
            <w:proofErr w:type="spellStart"/>
            <w:r>
              <w:t>дискурс</w:t>
            </w:r>
            <w:proofErr w:type="spellEnd"/>
            <w:r>
              <w:t xml:space="preserve"> как фактор формирования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 xml:space="preserve">Роль </w:t>
            </w:r>
            <w:proofErr w:type="spellStart"/>
            <w:r>
              <w:t>медиадизайна</w:t>
            </w:r>
            <w:proofErr w:type="spellEnd"/>
            <w:r>
              <w:t xml:space="preserve"> в формировании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Политические команды в стратегическом планировании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>Модели управления рисками при формировании государственной политики</w:t>
            </w:r>
          </w:p>
          <w:p w:rsidR="00A71176" w:rsidRDefault="00A71176" w:rsidP="00CF1CDA">
            <w:pPr>
              <w:pStyle w:val="a3"/>
              <w:ind w:left="0" w:firstLine="0"/>
              <w:jc w:val="both"/>
            </w:pPr>
            <w:r>
              <w:t xml:space="preserve">Субъективность и </w:t>
            </w:r>
            <w:proofErr w:type="spellStart"/>
            <w:r>
              <w:t>субъектность</w:t>
            </w:r>
            <w:proofErr w:type="spellEnd"/>
            <w:r>
              <w:t xml:space="preserve"> </w:t>
            </w:r>
            <w:proofErr w:type="spellStart"/>
            <w:r>
              <w:t>акторов</w:t>
            </w:r>
            <w:proofErr w:type="spellEnd"/>
            <w:r>
              <w:t xml:space="preserve"> формирования государственной политики</w:t>
            </w:r>
          </w:p>
          <w:p w:rsidR="00A71176" w:rsidRPr="00021E1E" w:rsidRDefault="00A71176" w:rsidP="00CF1CDA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>
              <w:t>Когнитивные и ценностные основания формирования государственной политики</w:t>
            </w:r>
          </w:p>
        </w:tc>
      </w:tr>
      <w:tr w:rsidR="00A71176" w:rsidRPr="00021E1E" w:rsidTr="00CF1CDA">
        <w:tc>
          <w:tcPr>
            <w:tcW w:w="567" w:type="dxa"/>
            <w:shd w:val="clear" w:color="auto" w:fill="auto"/>
          </w:tcPr>
          <w:p w:rsidR="00A71176" w:rsidRPr="00021E1E" w:rsidRDefault="00A71176" w:rsidP="00CF1CD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A71176" w:rsidRPr="00021E1E" w:rsidRDefault="00A71176" w:rsidP="00CF1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A71176" w:rsidRDefault="00A71176" w:rsidP="00A71176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Государственная политика и управление</w:t>
            </w:r>
            <w:proofErr w:type="gramStart"/>
            <w:r>
              <w:t xml:space="preserve"> / П</w:t>
            </w:r>
            <w:proofErr w:type="gramEnd"/>
            <w:r>
              <w:t>од ред. А.И.Соловьева, М.: Аспект-Пресс, 2017</w:t>
            </w:r>
          </w:p>
          <w:p w:rsidR="00A71176" w:rsidRDefault="00A71176" w:rsidP="00A71176">
            <w:pPr>
              <w:pStyle w:val="a3"/>
              <w:numPr>
                <w:ilvl w:val="0"/>
                <w:numId w:val="2"/>
              </w:numPr>
              <w:jc w:val="both"/>
            </w:pPr>
            <w:r>
              <w:t>Управление публичной политикой</w:t>
            </w:r>
            <w:proofErr w:type="gramStart"/>
            <w:r>
              <w:t xml:space="preserve"> / П</w:t>
            </w:r>
            <w:proofErr w:type="gramEnd"/>
            <w:r>
              <w:t xml:space="preserve">од ред. </w:t>
            </w:r>
            <w:proofErr w:type="spellStart"/>
            <w:r>
              <w:t>Л.В.Сморгунова</w:t>
            </w:r>
            <w:proofErr w:type="spellEnd"/>
            <w:r>
              <w:t>, М.: Аспект пресс, 2017</w:t>
            </w:r>
          </w:p>
          <w:p w:rsidR="00A71176" w:rsidRDefault="00A71176" w:rsidP="00A71176">
            <w:pPr>
              <w:pStyle w:val="a3"/>
              <w:numPr>
                <w:ilvl w:val="0"/>
                <w:numId w:val="2"/>
              </w:numPr>
              <w:jc w:val="both"/>
            </w:pPr>
            <w:r>
              <w:t>Политика и управление государством</w:t>
            </w:r>
            <w:proofErr w:type="gramStart"/>
            <w:r>
              <w:t xml:space="preserve"> / П</w:t>
            </w:r>
            <w:proofErr w:type="gramEnd"/>
            <w:r>
              <w:t>од ред. А.И.Соловьева, М: Аспект-пресс, 2019</w:t>
            </w:r>
          </w:p>
          <w:p w:rsidR="00A71176" w:rsidRDefault="00A71176" w:rsidP="00A71176">
            <w:pPr>
              <w:pStyle w:val="a3"/>
              <w:numPr>
                <w:ilvl w:val="0"/>
                <w:numId w:val="2"/>
              </w:numPr>
              <w:jc w:val="both"/>
            </w:pPr>
            <w:r>
              <w:t>Соловьев А.И. Принятие и исполнение государственных решений, М.: Аспект-Пресс, 2016</w:t>
            </w:r>
          </w:p>
          <w:p w:rsidR="00A71176" w:rsidRDefault="00A71176" w:rsidP="00CF1CDA">
            <w:pPr>
              <w:pStyle w:val="a3"/>
              <w:ind w:left="1120" w:firstLine="0"/>
              <w:jc w:val="both"/>
            </w:pPr>
          </w:p>
          <w:p w:rsidR="00A71176" w:rsidRPr="00021E1E" w:rsidRDefault="00A71176" w:rsidP="00CF1CDA">
            <w:pPr>
              <w:pStyle w:val="a3"/>
              <w:ind w:left="1120" w:firstLine="0"/>
              <w:jc w:val="both"/>
              <w:rPr>
                <w:sz w:val="28"/>
                <w:szCs w:val="28"/>
              </w:rPr>
            </w:pPr>
          </w:p>
        </w:tc>
      </w:tr>
    </w:tbl>
    <w:p w:rsidR="00A71176" w:rsidRPr="009C143E" w:rsidRDefault="00A71176" w:rsidP="00A711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176" w:rsidRPr="009C143E" w:rsidRDefault="00A71176" w:rsidP="00A711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A02" w:rsidRDefault="00C81A02"/>
    <w:sectPr w:rsidR="00C8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7B6B"/>
    <w:multiLevelType w:val="hybridMultilevel"/>
    <w:tmpl w:val="73C4B5AE"/>
    <w:lvl w:ilvl="0" w:tplc="49DE4370">
      <w:start w:val="1"/>
      <w:numFmt w:val="decimal"/>
      <w:lvlText w:val="%1.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176"/>
    <w:rsid w:val="00A71176"/>
    <w:rsid w:val="00C8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7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1176"/>
    <w:pPr>
      <w:widowControl w:val="0"/>
      <w:suppressAutoHyphens/>
      <w:spacing w:after="0" w:line="240" w:lineRule="auto"/>
      <w:ind w:left="720" w:firstLine="40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dcterms:created xsi:type="dcterms:W3CDTF">2019-06-06T10:40:00Z</dcterms:created>
  <dcterms:modified xsi:type="dcterms:W3CDTF">2019-06-06T10:42:00Z</dcterms:modified>
</cp:coreProperties>
</file>